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C194F" w14:textId="77777777" w:rsidR="00B016A9" w:rsidRDefault="00967063" w:rsidP="00967063">
      <w:pPr>
        <w:pStyle w:val="a3"/>
        <w:numPr>
          <w:ilvl w:val="0"/>
          <w:numId w:val="1"/>
        </w:numPr>
        <w:ind w:leftChars="0"/>
      </w:pPr>
      <w:r>
        <w:rPr>
          <w:rFonts w:hint="eastAsia"/>
        </w:rPr>
        <w:t>M</w:t>
      </w:r>
      <w:r>
        <w:t>&amp;A</w:t>
      </w:r>
      <w:r>
        <w:rPr>
          <w:rFonts w:hint="eastAsia"/>
        </w:rPr>
        <w:t>とは</w:t>
      </w:r>
    </w:p>
    <w:p w14:paraId="5BF3B79A" w14:textId="77777777" w:rsidR="00967063" w:rsidRDefault="00967063" w:rsidP="00967063"/>
    <w:p w14:paraId="2FD768DC" w14:textId="1019B0D8" w:rsidR="00967063" w:rsidRDefault="00967063" w:rsidP="00967063">
      <w:r>
        <w:rPr>
          <w:rFonts w:hint="eastAsia"/>
        </w:rPr>
        <w:t xml:space="preserve">　M</w:t>
      </w:r>
      <w:r>
        <w:t>&amp;A</w:t>
      </w:r>
      <w:r>
        <w:rPr>
          <w:rFonts w:hint="eastAsia"/>
        </w:rPr>
        <w:t>とは、</w:t>
      </w:r>
      <w:r w:rsidR="00657E28">
        <w:rPr>
          <w:rFonts w:hint="eastAsia"/>
        </w:rPr>
        <w:t>英語の「</w:t>
      </w:r>
      <w:r>
        <w:rPr>
          <w:rFonts w:hint="eastAsia"/>
        </w:rPr>
        <w:t>M</w:t>
      </w:r>
      <w:r>
        <w:t>ergers</w:t>
      </w:r>
      <w:r w:rsidR="00657E28">
        <w:rPr>
          <w:rFonts w:hint="eastAsia"/>
        </w:rPr>
        <w:t xml:space="preserve"> </w:t>
      </w:r>
      <w:r>
        <w:t>and acquisitions</w:t>
      </w:r>
      <w:r w:rsidR="00657E28">
        <w:rPr>
          <w:rFonts w:hint="eastAsia"/>
        </w:rPr>
        <w:t>」の略であり、直訳すると「合併と買収」である。</w:t>
      </w:r>
      <w:r w:rsidR="00B304ED">
        <w:rPr>
          <w:rFonts w:hint="eastAsia"/>
        </w:rPr>
        <w:t>合併とは、二つ以上の会社が一つの企業に統合されることである。一方買収とは、現金や株式によって対象となる企業全体や一部を買い取り、</w:t>
      </w:r>
      <w:r w:rsidR="00925F63">
        <w:rPr>
          <w:rFonts w:hint="eastAsia"/>
        </w:rPr>
        <w:t>経営権を握ることである。</w:t>
      </w:r>
    </w:p>
    <w:p w14:paraId="75DE988F" w14:textId="3687EAE6" w:rsidR="00657E28" w:rsidRDefault="00D56132" w:rsidP="00967063">
      <w:r>
        <w:rPr>
          <w:rFonts w:hint="eastAsia"/>
        </w:rPr>
        <w:t xml:space="preserve">　</w:t>
      </w:r>
      <w:r w:rsidR="00404C92">
        <w:rPr>
          <w:rFonts w:hint="eastAsia"/>
        </w:rPr>
        <w:t>従来</w:t>
      </w:r>
      <w:r>
        <w:rPr>
          <w:rFonts w:hint="eastAsia"/>
        </w:rPr>
        <w:t>M</w:t>
      </w:r>
      <w:r>
        <w:t>&amp;A</w:t>
      </w:r>
      <w:r>
        <w:rPr>
          <w:rFonts w:hint="eastAsia"/>
        </w:rPr>
        <w:t>は欧米諸国で盛んに行われていたが、</w:t>
      </w:r>
      <w:r w:rsidR="00404C92">
        <w:rPr>
          <w:rFonts w:hint="eastAsia"/>
        </w:rPr>
        <w:t>近年は日本においても経営戦略の一環として注目されるようになった。</w:t>
      </w:r>
      <w:r>
        <w:rPr>
          <w:rFonts w:hint="eastAsia"/>
        </w:rPr>
        <w:t>その証拠</w:t>
      </w:r>
      <w:r w:rsidR="00404C92">
        <w:rPr>
          <w:rFonts w:hint="eastAsia"/>
        </w:rPr>
        <w:t>に</w:t>
      </w:r>
      <w:r w:rsidR="00032282">
        <w:rPr>
          <w:rFonts w:hint="eastAsia"/>
        </w:rPr>
        <w:t>2019年</w:t>
      </w:r>
      <w:r w:rsidR="00404C92">
        <w:rPr>
          <w:rFonts w:hint="eastAsia"/>
        </w:rPr>
        <w:t>に実施された日本企業の</w:t>
      </w:r>
      <w:r w:rsidR="00032282">
        <w:rPr>
          <w:rFonts w:hint="eastAsia"/>
        </w:rPr>
        <w:t>M</w:t>
      </w:r>
      <w:r w:rsidR="00032282">
        <w:t>&amp;A</w:t>
      </w:r>
      <w:r w:rsidR="00032282">
        <w:rPr>
          <w:rFonts w:hint="eastAsia"/>
        </w:rPr>
        <w:t>件数は4.0</w:t>
      </w:r>
      <w:r w:rsidR="002C23D4">
        <w:rPr>
          <w:rFonts w:hint="eastAsia"/>
        </w:rPr>
        <w:t>00</w:t>
      </w:r>
      <w:r w:rsidR="00032282">
        <w:rPr>
          <w:rFonts w:hint="eastAsia"/>
        </w:rPr>
        <w:t>件</w:t>
      </w:r>
      <w:r w:rsidR="002C23D4">
        <w:rPr>
          <w:rFonts w:hint="eastAsia"/>
        </w:rPr>
        <w:t>を超え、</w:t>
      </w:r>
      <w:r w:rsidR="00404C92">
        <w:rPr>
          <w:rFonts w:hint="eastAsia"/>
        </w:rPr>
        <w:t>過去最多を更新した。</w:t>
      </w:r>
      <w:r w:rsidR="002A5960">
        <w:rPr>
          <w:rFonts w:hint="eastAsia"/>
        </w:rPr>
        <w:t>（図1）</w:t>
      </w:r>
    </w:p>
    <w:p w14:paraId="0A6EB4FC" w14:textId="77777777" w:rsidR="007975E7" w:rsidRDefault="007975E7" w:rsidP="00967063"/>
    <w:p w14:paraId="52AA7089" w14:textId="29BF6A72" w:rsidR="006854A0" w:rsidRDefault="006854A0" w:rsidP="00967063">
      <w:r w:rsidRPr="00A12B5A">
        <w:rPr>
          <w:rFonts w:hint="eastAsia"/>
          <w:b/>
          <w:bCs/>
        </w:rPr>
        <w:t>図1</w:t>
      </w:r>
      <w:r w:rsidR="00421CD4">
        <w:rPr>
          <w:rFonts w:hint="eastAsia"/>
        </w:rPr>
        <w:t xml:space="preserve">　1985年以降のマーケット別M</w:t>
      </w:r>
      <w:r w:rsidR="00421CD4">
        <w:t>&amp;A</w:t>
      </w:r>
      <w:r w:rsidR="00421CD4">
        <w:rPr>
          <w:rFonts w:hint="eastAsia"/>
        </w:rPr>
        <w:t>件数の推移</w:t>
      </w:r>
    </w:p>
    <w:p w14:paraId="5C369FE1" w14:textId="2F637287" w:rsidR="00925F63" w:rsidRDefault="00466F1B" w:rsidP="00967063">
      <w:r>
        <w:rPr>
          <w:noProof/>
        </w:rPr>
        <w:drawing>
          <wp:inline distT="0" distB="0" distL="0" distR="0" wp14:anchorId="4ED95443" wp14:editId="74BC2579">
            <wp:extent cx="5400040" cy="2558415"/>
            <wp:effectExtent l="0" t="0" r="0" b="0"/>
            <wp:docPr id="1" name="図 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5"/>
                    <a:stretch>
                      <a:fillRect/>
                    </a:stretch>
                  </pic:blipFill>
                  <pic:spPr>
                    <a:xfrm>
                      <a:off x="0" y="0"/>
                      <a:ext cx="5400040" cy="2558415"/>
                    </a:xfrm>
                    <a:prstGeom prst="rect">
                      <a:avLst/>
                    </a:prstGeom>
                  </pic:spPr>
                </pic:pic>
              </a:graphicData>
            </a:graphic>
          </wp:inline>
        </w:drawing>
      </w:r>
    </w:p>
    <w:p w14:paraId="152D7A17" w14:textId="01F9F2D0" w:rsidR="00421CD4" w:rsidRDefault="00EE5318" w:rsidP="007975E7">
      <w:pPr>
        <w:jc w:val="right"/>
        <w:rPr>
          <w:kern w:val="0"/>
        </w:rPr>
      </w:pPr>
      <w:r>
        <w:rPr>
          <w:rFonts w:hint="eastAsia"/>
          <w:kern w:val="0"/>
        </w:rPr>
        <w:t>(出典:</w:t>
      </w:r>
      <w:r>
        <w:rPr>
          <w:rFonts w:eastAsiaTheme="minorHAnsi" w:hint="eastAsia"/>
          <w:kern w:val="0"/>
        </w:rPr>
        <w:t xml:space="preserve"> MARR Online「グラフで見るM&amp;A動向」</w:t>
      </w:r>
      <w:r>
        <w:rPr>
          <w:rFonts w:hint="eastAsia"/>
          <w:kern w:val="0"/>
        </w:rPr>
        <w:t>)</w:t>
      </w:r>
    </w:p>
    <w:p w14:paraId="6CE4B45B" w14:textId="77777777" w:rsidR="007975E7" w:rsidRPr="00466F1B" w:rsidRDefault="007975E7" w:rsidP="007975E7">
      <w:pPr>
        <w:jc w:val="right"/>
      </w:pPr>
    </w:p>
    <w:p w14:paraId="36A050FB" w14:textId="77777777" w:rsidR="00925F63" w:rsidRDefault="00925F63" w:rsidP="00967063"/>
    <w:p w14:paraId="3F4F89A5" w14:textId="594D3126" w:rsidR="00967063" w:rsidRDefault="00404C92" w:rsidP="00967063">
      <w:r>
        <w:rPr>
          <w:rFonts w:hint="eastAsia"/>
        </w:rPr>
        <w:t xml:space="preserve">　</w:t>
      </w:r>
      <w:r w:rsidR="00B304ED">
        <w:rPr>
          <w:rFonts w:hint="eastAsia"/>
        </w:rPr>
        <w:t>では</w:t>
      </w:r>
      <w:r w:rsidR="00925F63">
        <w:rPr>
          <w:rFonts w:hint="eastAsia"/>
        </w:rPr>
        <w:t>何故M</w:t>
      </w:r>
      <w:r w:rsidR="00925F63">
        <w:t>&amp;A</w:t>
      </w:r>
      <w:r w:rsidR="00925F63">
        <w:rPr>
          <w:rFonts w:hint="eastAsia"/>
        </w:rPr>
        <w:t>が経営手法として注目されるようになったのか。それには三つの要因が関係している。</w:t>
      </w:r>
    </w:p>
    <w:p w14:paraId="016370A0" w14:textId="77777777" w:rsidR="004965A9" w:rsidRDefault="004965A9" w:rsidP="00967063"/>
    <w:p w14:paraId="1A2E3AE5" w14:textId="47011827" w:rsidR="00D8507D" w:rsidRDefault="00925F63" w:rsidP="00967063">
      <w:r>
        <w:rPr>
          <w:rFonts w:hint="eastAsia"/>
        </w:rPr>
        <w:t xml:space="preserve">　第一に、</w:t>
      </w:r>
      <w:r w:rsidR="00CB6517">
        <w:rPr>
          <w:rFonts w:hint="eastAsia"/>
        </w:rPr>
        <w:t>事業規模の拡大と強化である。企業は市場における競争を勝ち抜くために、</w:t>
      </w:r>
      <w:r w:rsidR="005B50C6">
        <w:rPr>
          <w:rFonts w:hint="eastAsia"/>
        </w:rPr>
        <w:t>既存事業の強化や新規事業への参入など行っていく必要がある。しかし、人材の育成や設備の調達、技術など</w:t>
      </w:r>
      <w:r w:rsidR="00510251">
        <w:rPr>
          <w:rFonts w:hint="eastAsia"/>
        </w:rPr>
        <w:t>を</w:t>
      </w:r>
      <w:r w:rsidR="005B50C6">
        <w:rPr>
          <w:rFonts w:hint="eastAsia"/>
        </w:rPr>
        <w:t>有するまで多大な時間と手間がかかる。</w:t>
      </w:r>
      <w:r w:rsidR="008C6D07">
        <w:rPr>
          <w:rFonts w:hint="eastAsia"/>
        </w:rPr>
        <w:t>特に</w:t>
      </w:r>
      <w:r w:rsidR="005B50C6">
        <w:rPr>
          <w:rFonts w:hint="eastAsia"/>
        </w:rPr>
        <w:t>競争が激しい現代の市場では、</w:t>
      </w:r>
      <w:r w:rsidR="00AF69AC">
        <w:rPr>
          <w:rFonts w:hint="eastAsia"/>
        </w:rPr>
        <w:t>素早く展開していかなければならない。そこで、</w:t>
      </w:r>
      <w:r w:rsidR="00AF69AC">
        <w:t>M&amp;A</w:t>
      </w:r>
      <w:r w:rsidR="00AF69AC">
        <w:rPr>
          <w:rFonts w:hint="eastAsia"/>
        </w:rPr>
        <w:t>を実施することにより、他社が有するノウハウや設備を</w:t>
      </w:r>
      <w:r w:rsidR="00610A8C">
        <w:rPr>
          <w:rFonts w:hint="eastAsia"/>
        </w:rPr>
        <w:t>時間をかけずに</w:t>
      </w:r>
      <w:r w:rsidR="0008129D">
        <w:rPr>
          <w:rFonts w:hint="eastAsia"/>
        </w:rPr>
        <w:t>獲得</w:t>
      </w:r>
      <w:r w:rsidR="00AF69AC">
        <w:rPr>
          <w:rFonts w:hint="eastAsia"/>
        </w:rPr>
        <w:t>することができる。</w:t>
      </w:r>
      <w:r w:rsidR="0045120B">
        <w:rPr>
          <w:rFonts w:hint="eastAsia"/>
        </w:rPr>
        <w:t>また</w:t>
      </w:r>
      <w:r w:rsidR="00FB7EBA">
        <w:rPr>
          <w:rFonts w:hint="eastAsia"/>
        </w:rPr>
        <w:t>お互いの強み</w:t>
      </w:r>
      <w:r w:rsidR="00301872">
        <w:rPr>
          <w:rFonts w:hint="eastAsia"/>
        </w:rPr>
        <w:t>を</w:t>
      </w:r>
      <w:r w:rsidR="00C749A8">
        <w:rPr>
          <w:rFonts w:hint="eastAsia"/>
        </w:rPr>
        <w:t>組み合わ</w:t>
      </w:r>
      <w:r w:rsidR="00301872">
        <w:rPr>
          <w:rFonts w:hint="eastAsia"/>
        </w:rPr>
        <w:t>せる</w:t>
      </w:r>
      <w:r w:rsidR="00C749A8">
        <w:rPr>
          <w:rFonts w:hint="eastAsia"/>
        </w:rPr>
        <w:t>ことによ</w:t>
      </w:r>
      <w:r w:rsidR="00301872">
        <w:rPr>
          <w:rFonts w:hint="eastAsia"/>
        </w:rPr>
        <w:t>る</w:t>
      </w:r>
      <w:r w:rsidR="0037191D">
        <w:rPr>
          <w:rFonts w:hint="eastAsia"/>
        </w:rPr>
        <w:t>相乗効果</w:t>
      </w:r>
      <w:r w:rsidR="00301872">
        <w:rPr>
          <w:rFonts w:hint="eastAsia"/>
        </w:rPr>
        <w:t>も見込まれ、</w:t>
      </w:r>
      <w:r w:rsidR="00CE7B7D">
        <w:rPr>
          <w:rFonts w:hint="eastAsia"/>
        </w:rPr>
        <w:t>大きな成長を遂げることができる。</w:t>
      </w:r>
    </w:p>
    <w:p w14:paraId="04663280" w14:textId="7A961577" w:rsidR="006F31AA" w:rsidRDefault="00E05ED6" w:rsidP="00D95BEC">
      <w:pPr>
        <w:ind w:firstLineChars="100" w:firstLine="210"/>
      </w:pPr>
      <w:r>
        <w:rPr>
          <w:rFonts w:hint="eastAsia"/>
        </w:rPr>
        <w:t>第二に、</w:t>
      </w:r>
      <w:r w:rsidR="008A4C2F">
        <w:rPr>
          <w:rFonts w:hint="eastAsia"/>
        </w:rPr>
        <w:t>事業継承である。</w:t>
      </w:r>
      <w:r w:rsidR="00E33419">
        <w:rPr>
          <w:rFonts w:hint="eastAsia"/>
        </w:rPr>
        <w:t>後継者がいない</w:t>
      </w:r>
      <w:r w:rsidR="000C37DE">
        <w:rPr>
          <w:rFonts w:hint="eastAsia"/>
        </w:rPr>
        <w:t>等の問題から、創業者が</w:t>
      </w:r>
      <w:r w:rsidR="001F26D9">
        <w:rPr>
          <w:rFonts w:hint="eastAsia"/>
        </w:rPr>
        <w:t>会社を売却</w:t>
      </w:r>
      <w:r w:rsidR="00586BB6">
        <w:rPr>
          <w:rFonts w:hint="eastAsia"/>
        </w:rPr>
        <w:t>し、事業から手を引くケースは多い。</w:t>
      </w:r>
      <w:r w:rsidR="00941BDC">
        <w:rPr>
          <w:rFonts w:hint="eastAsia"/>
        </w:rPr>
        <w:t>創業者は</w:t>
      </w:r>
      <w:r w:rsidR="004B6E7A">
        <w:rPr>
          <w:rFonts w:hint="eastAsia"/>
        </w:rPr>
        <w:t>企業を存続</w:t>
      </w:r>
      <w:r w:rsidR="00EB689D">
        <w:rPr>
          <w:rFonts w:hint="eastAsia"/>
        </w:rPr>
        <w:t>させることは勿論、買い手側も</w:t>
      </w:r>
      <w:r w:rsidR="005614C4">
        <w:rPr>
          <w:rFonts w:hint="eastAsia"/>
        </w:rPr>
        <w:t>蓄積された経</w:t>
      </w:r>
      <w:r w:rsidR="005614C4">
        <w:rPr>
          <w:rFonts w:hint="eastAsia"/>
        </w:rPr>
        <w:lastRenderedPageBreak/>
        <w:t>営資源や</w:t>
      </w:r>
      <w:r w:rsidR="00527F49">
        <w:rPr>
          <w:rFonts w:hint="eastAsia"/>
        </w:rPr>
        <w:t>ノウハウを獲得できるメリットがある。</w:t>
      </w:r>
    </w:p>
    <w:p w14:paraId="04C94C87" w14:textId="76D339BB" w:rsidR="00CE338D" w:rsidRDefault="00CE338D" w:rsidP="004965A9">
      <w:pPr>
        <w:ind w:firstLineChars="100" w:firstLine="210"/>
      </w:pPr>
      <w:r>
        <w:rPr>
          <w:rFonts w:hint="eastAsia"/>
        </w:rPr>
        <w:t>第三に、</w:t>
      </w:r>
      <w:r w:rsidR="00BB180C">
        <w:rPr>
          <w:rFonts w:hint="eastAsia"/>
        </w:rPr>
        <w:t>選択と集中による</w:t>
      </w:r>
      <w:r w:rsidR="0015582B">
        <w:rPr>
          <w:rFonts w:hint="eastAsia"/>
        </w:rPr>
        <w:t>資金調達である。</w:t>
      </w:r>
      <w:r w:rsidR="0013385C">
        <w:rPr>
          <w:rFonts w:hint="eastAsia"/>
        </w:rPr>
        <w:t>部門や子会社を売却することで資金</w:t>
      </w:r>
      <w:r w:rsidR="00521E91">
        <w:rPr>
          <w:rFonts w:hint="eastAsia"/>
        </w:rPr>
        <w:t>を調達する方法である。</w:t>
      </w:r>
      <w:r w:rsidR="00D60114">
        <w:rPr>
          <w:rFonts w:hint="eastAsia"/>
        </w:rPr>
        <w:t>売却する理由は</w:t>
      </w:r>
      <w:r w:rsidR="00C11990">
        <w:rPr>
          <w:rFonts w:hint="eastAsia"/>
        </w:rPr>
        <w:t>自社の</w:t>
      </w:r>
      <w:r w:rsidR="00BF1FA7">
        <w:rPr>
          <w:rFonts w:hint="eastAsia"/>
        </w:rPr>
        <w:t>コアビジネス</w:t>
      </w:r>
      <w:r w:rsidR="00F61F36">
        <w:rPr>
          <w:rFonts w:hint="eastAsia"/>
        </w:rPr>
        <w:t>との相乗効果の薄さや</w:t>
      </w:r>
      <w:r w:rsidR="007C3DC0">
        <w:rPr>
          <w:rFonts w:hint="eastAsia"/>
        </w:rPr>
        <w:t>業績の悪さなど</w:t>
      </w:r>
      <w:r w:rsidR="00D60114">
        <w:rPr>
          <w:rFonts w:hint="eastAsia"/>
        </w:rPr>
        <w:t>様々だ。</w:t>
      </w:r>
      <w:r w:rsidR="009C2B4C">
        <w:rPr>
          <w:rFonts w:hint="eastAsia"/>
        </w:rPr>
        <w:t>そして売却して得た資金を</w:t>
      </w:r>
      <w:r w:rsidR="003A1E0A">
        <w:rPr>
          <w:rFonts w:hint="eastAsia"/>
        </w:rPr>
        <w:t>活用</w:t>
      </w:r>
      <w:r w:rsidR="00B436A6">
        <w:rPr>
          <w:rFonts w:hint="eastAsia"/>
        </w:rPr>
        <w:t>し、</w:t>
      </w:r>
      <w:r w:rsidR="000B1BA1">
        <w:rPr>
          <w:rFonts w:hint="eastAsia"/>
        </w:rPr>
        <w:t>既存</w:t>
      </w:r>
      <w:r w:rsidR="009916FA">
        <w:rPr>
          <w:rFonts w:hint="eastAsia"/>
        </w:rPr>
        <w:t>事業</w:t>
      </w:r>
      <w:r w:rsidR="00290AE8">
        <w:rPr>
          <w:rFonts w:hint="eastAsia"/>
        </w:rPr>
        <w:t>の強化</w:t>
      </w:r>
      <w:r w:rsidR="00682A54">
        <w:rPr>
          <w:rFonts w:hint="eastAsia"/>
        </w:rPr>
        <w:t>並びに</w:t>
      </w:r>
      <w:r w:rsidR="00490B46">
        <w:rPr>
          <w:rFonts w:hint="eastAsia"/>
        </w:rPr>
        <w:t>新規事業へ投資することができる。</w:t>
      </w:r>
    </w:p>
    <w:p w14:paraId="7B03016F" w14:textId="77777777" w:rsidR="00D8507D" w:rsidRPr="00F32970" w:rsidRDefault="00D8507D" w:rsidP="00D95BEC">
      <w:pPr>
        <w:ind w:firstLineChars="100" w:firstLine="210"/>
      </w:pPr>
    </w:p>
    <w:p w14:paraId="024AA413" w14:textId="2F9AD8A4" w:rsidR="00C42E65" w:rsidRDefault="005008F1" w:rsidP="002060F1">
      <w:pPr>
        <w:ind w:firstLineChars="100" w:firstLine="210"/>
      </w:pPr>
      <w:r>
        <w:rPr>
          <w:rFonts w:hint="eastAsia"/>
        </w:rPr>
        <w:t>以上挙げた三つの要因により、</w:t>
      </w:r>
      <w:r w:rsidR="00FD6CC1">
        <w:rPr>
          <w:rFonts w:hint="eastAsia"/>
        </w:rPr>
        <w:t>M</w:t>
      </w:r>
      <w:r w:rsidR="00FD6CC1">
        <w:t>&amp;A</w:t>
      </w:r>
      <w:r w:rsidR="00FD6CC1">
        <w:rPr>
          <w:rFonts w:hint="eastAsia"/>
        </w:rPr>
        <w:t>が</w:t>
      </w:r>
      <w:r w:rsidR="00AE2F13">
        <w:rPr>
          <w:rFonts w:hint="eastAsia"/>
        </w:rPr>
        <w:t>企業を成長</w:t>
      </w:r>
      <w:r w:rsidR="00C269A5">
        <w:rPr>
          <w:rFonts w:hint="eastAsia"/>
        </w:rPr>
        <w:t>させる</w:t>
      </w:r>
      <w:r w:rsidR="00B70B15">
        <w:rPr>
          <w:rFonts w:hint="eastAsia"/>
        </w:rPr>
        <w:t>手段</w:t>
      </w:r>
      <w:r w:rsidR="00FC56BD">
        <w:rPr>
          <w:rFonts w:hint="eastAsia"/>
        </w:rPr>
        <w:t>として</w:t>
      </w:r>
      <w:r w:rsidR="00B70B15">
        <w:rPr>
          <w:rFonts w:hint="eastAsia"/>
        </w:rPr>
        <w:t>注目を集め</w:t>
      </w:r>
      <w:r w:rsidR="008D4884">
        <w:rPr>
          <w:rFonts w:hint="eastAsia"/>
        </w:rPr>
        <w:t>、経営戦略として採用されていると</w:t>
      </w:r>
      <w:r w:rsidR="001D36A1">
        <w:rPr>
          <w:rFonts w:hint="eastAsia"/>
        </w:rPr>
        <w:t>分かる。</w:t>
      </w:r>
    </w:p>
    <w:p w14:paraId="7FD98D31" w14:textId="580A9968" w:rsidR="00C42E65" w:rsidRDefault="00C42E65" w:rsidP="00967063"/>
    <w:p w14:paraId="458CF921" w14:textId="243A2330" w:rsidR="00C42E65" w:rsidRDefault="00C42E65" w:rsidP="00967063"/>
    <w:p w14:paraId="6564BD1B" w14:textId="64B79863" w:rsidR="00261A19" w:rsidRDefault="00261A19" w:rsidP="00967063"/>
    <w:p w14:paraId="725DF729" w14:textId="19DFE100" w:rsidR="00261A19" w:rsidRDefault="00261A19" w:rsidP="00967063"/>
    <w:p w14:paraId="3CC76F47" w14:textId="4A04CC10" w:rsidR="00261A19" w:rsidRDefault="00261A19" w:rsidP="00967063"/>
    <w:p w14:paraId="3515506A" w14:textId="0DBABABE" w:rsidR="00261A19" w:rsidRDefault="00261A19" w:rsidP="00967063"/>
    <w:p w14:paraId="4F9AC265" w14:textId="7F207F72" w:rsidR="00261A19" w:rsidRDefault="00261A19" w:rsidP="00967063"/>
    <w:p w14:paraId="1CC621B1" w14:textId="78073EB7" w:rsidR="00261A19" w:rsidRDefault="00261A19" w:rsidP="00967063"/>
    <w:p w14:paraId="48FDF442" w14:textId="51905288" w:rsidR="00261A19" w:rsidRDefault="00261A19" w:rsidP="00967063"/>
    <w:p w14:paraId="28BAFAFB" w14:textId="283B4547" w:rsidR="00261A19" w:rsidRDefault="00261A19" w:rsidP="00967063"/>
    <w:p w14:paraId="04DD8352" w14:textId="4103A20D" w:rsidR="00261A19" w:rsidRDefault="00261A19" w:rsidP="00967063"/>
    <w:p w14:paraId="436CAE94" w14:textId="3B724626" w:rsidR="00261A19" w:rsidRDefault="00261A19" w:rsidP="00967063"/>
    <w:p w14:paraId="29F9E63D" w14:textId="7302821B" w:rsidR="00261A19" w:rsidRDefault="00261A19" w:rsidP="00967063"/>
    <w:p w14:paraId="42463EBE" w14:textId="1BE1DF75" w:rsidR="00261A19" w:rsidRDefault="00261A19" w:rsidP="00967063"/>
    <w:p w14:paraId="43465C94" w14:textId="7D5A61C5" w:rsidR="00261A19" w:rsidRDefault="00261A19" w:rsidP="00967063"/>
    <w:p w14:paraId="0F65B1C3" w14:textId="4B614E98" w:rsidR="00261A19" w:rsidRDefault="00261A19" w:rsidP="00967063"/>
    <w:p w14:paraId="6F11055E" w14:textId="7B07D36B" w:rsidR="00261A19" w:rsidRDefault="00261A19" w:rsidP="00967063"/>
    <w:p w14:paraId="76469BD7" w14:textId="0DD57D92" w:rsidR="00261A19" w:rsidRDefault="00261A19" w:rsidP="00967063"/>
    <w:p w14:paraId="523F0442" w14:textId="569336FC" w:rsidR="00261A19" w:rsidRDefault="00261A19" w:rsidP="00967063"/>
    <w:p w14:paraId="68B147AC" w14:textId="7417816D" w:rsidR="00261A19" w:rsidRDefault="00261A19" w:rsidP="00967063"/>
    <w:p w14:paraId="44CD1AAC" w14:textId="0B851DDE" w:rsidR="00261A19" w:rsidRDefault="00261A19" w:rsidP="00967063"/>
    <w:p w14:paraId="0CD777E9" w14:textId="411FEA34" w:rsidR="00261A19" w:rsidRDefault="00261A19" w:rsidP="00967063"/>
    <w:p w14:paraId="0068AE74" w14:textId="4AF93849" w:rsidR="00261A19" w:rsidRDefault="00261A19" w:rsidP="00967063"/>
    <w:p w14:paraId="55F11F70" w14:textId="1E4FE887" w:rsidR="00261A19" w:rsidRDefault="00261A19" w:rsidP="00967063"/>
    <w:p w14:paraId="7A98388A" w14:textId="41E8EF30" w:rsidR="00261A19" w:rsidRDefault="00261A19" w:rsidP="00967063"/>
    <w:p w14:paraId="202CECBD" w14:textId="77777777" w:rsidR="00B848C0" w:rsidRDefault="00B848C0" w:rsidP="00967063"/>
    <w:p w14:paraId="5F3FB76C" w14:textId="2A6C898B" w:rsidR="00261A19" w:rsidRDefault="00261A19" w:rsidP="00967063"/>
    <w:p w14:paraId="4D912F5A" w14:textId="77777777" w:rsidR="00261A19" w:rsidRDefault="00261A19" w:rsidP="00967063"/>
    <w:p w14:paraId="22F02CF8" w14:textId="146EA8DB" w:rsidR="00B96608" w:rsidRDefault="00B96608" w:rsidP="00B96608">
      <w:pPr>
        <w:pStyle w:val="a3"/>
        <w:numPr>
          <w:ilvl w:val="0"/>
          <w:numId w:val="1"/>
        </w:numPr>
        <w:ind w:leftChars="0"/>
      </w:pPr>
      <w:r>
        <w:rPr>
          <w:rFonts w:hint="eastAsia"/>
        </w:rPr>
        <w:lastRenderedPageBreak/>
        <w:t>なぜ今海外M&amp;A</w:t>
      </w:r>
      <w:r w:rsidR="00897F7C">
        <w:rPr>
          <w:rFonts w:hint="eastAsia"/>
        </w:rPr>
        <w:t>が</w:t>
      </w:r>
      <w:r>
        <w:rPr>
          <w:rFonts w:hint="eastAsia"/>
        </w:rPr>
        <w:t>必要か</w:t>
      </w:r>
    </w:p>
    <w:p w14:paraId="33A366C0" w14:textId="37964FD4" w:rsidR="003E37FE" w:rsidRDefault="003E37FE" w:rsidP="00E11DDF">
      <w:pPr>
        <w:ind w:firstLineChars="100" w:firstLine="210"/>
      </w:pPr>
    </w:p>
    <w:p w14:paraId="2A45292F" w14:textId="7BE6A721" w:rsidR="005603F5" w:rsidRDefault="00DD49A0" w:rsidP="005603F5">
      <w:pPr>
        <w:ind w:firstLineChars="100" w:firstLine="210"/>
      </w:pPr>
      <w:r>
        <w:rPr>
          <w:rFonts w:hint="eastAsia"/>
        </w:rPr>
        <w:t>前章では、M</w:t>
      </w:r>
      <w:r>
        <w:t>&amp;A</w:t>
      </w:r>
      <w:r w:rsidR="00897F7C">
        <w:rPr>
          <w:rFonts w:hint="eastAsia"/>
        </w:rPr>
        <w:t>が持つ効果や</w:t>
      </w:r>
      <w:r w:rsidR="007B7246">
        <w:rPr>
          <w:rFonts w:hint="eastAsia"/>
        </w:rPr>
        <w:t>用途を</w:t>
      </w:r>
      <w:r w:rsidR="00DE58EC">
        <w:rPr>
          <w:rFonts w:hint="eastAsia"/>
        </w:rPr>
        <w:t>述べ</w:t>
      </w:r>
      <w:r w:rsidR="007B7246">
        <w:rPr>
          <w:rFonts w:hint="eastAsia"/>
        </w:rPr>
        <w:t>、企業成長における有効な手段</w:t>
      </w:r>
      <w:r w:rsidR="00DE58EC">
        <w:rPr>
          <w:rFonts w:hint="eastAsia"/>
        </w:rPr>
        <w:t>であると説明した。</w:t>
      </w:r>
      <w:r w:rsidR="0003640C">
        <w:rPr>
          <w:rFonts w:hint="eastAsia"/>
        </w:rPr>
        <w:t>本章では、</w:t>
      </w:r>
      <w:r w:rsidR="00546874">
        <w:rPr>
          <w:rFonts w:hint="eastAsia"/>
        </w:rPr>
        <w:t>日本企業</w:t>
      </w:r>
      <w:r w:rsidR="002C050B">
        <w:rPr>
          <w:rFonts w:hint="eastAsia"/>
        </w:rPr>
        <w:t>が</w:t>
      </w:r>
      <w:r w:rsidR="00010A24">
        <w:rPr>
          <w:rFonts w:hint="eastAsia"/>
        </w:rPr>
        <w:t>海外</w:t>
      </w:r>
      <w:r w:rsidR="00EC6B86">
        <w:rPr>
          <w:rFonts w:hint="eastAsia"/>
        </w:rPr>
        <w:t>進出していく</w:t>
      </w:r>
      <w:r w:rsidR="00A36CEA">
        <w:rPr>
          <w:rFonts w:hint="eastAsia"/>
        </w:rPr>
        <w:t>必要性を</w:t>
      </w:r>
      <w:r w:rsidR="0012013A">
        <w:rPr>
          <w:rFonts w:hint="eastAsia"/>
        </w:rPr>
        <w:t>述べていく。</w:t>
      </w:r>
    </w:p>
    <w:p w14:paraId="7CA49200" w14:textId="1A37B455" w:rsidR="00482AF4" w:rsidRDefault="005603F5" w:rsidP="00A96466">
      <w:pPr>
        <w:ind w:firstLineChars="100" w:firstLine="210"/>
      </w:pPr>
      <w:r>
        <w:rPr>
          <w:rFonts w:hint="eastAsia"/>
        </w:rPr>
        <w:t>事実、</w:t>
      </w:r>
      <w:r w:rsidR="00A36CE9">
        <w:rPr>
          <w:rFonts w:hint="eastAsia"/>
        </w:rPr>
        <w:t>日本企業</w:t>
      </w:r>
      <w:r w:rsidR="00EB3080">
        <w:rPr>
          <w:rFonts w:hint="eastAsia"/>
        </w:rPr>
        <w:t>が</w:t>
      </w:r>
      <w:r w:rsidR="00E11DDF">
        <w:rPr>
          <w:rFonts w:hint="eastAsia"/>
        </w:rPr>
        <w:t>今後大きな成長を遂げるためには、海外M&amp;Aをより積極的に行って</w:t>
      </w:r>
      <w:r w:rsidR="00EB3080">
        <w:rPr>
          <w:rFonts w:hint="eastAsia"/>
        </w:rPr>
        <w:t>いかなければならない。</w:t>
      </w:r>
      <w:r w:rsidR="00E11DDF">
        <w:rPr>
          <w:rFonts w:hint="eastAsia"/>
        </w:rPr>
        <w:t>そのような考えに至った要因は</w:t>
      </w:r>
      <w:r w:rsidR="00D94612">
        <w:rPr>
          <w:rFonts w:hint="eastAsia"/>
        </w:rPr>
        <w:t>、「</w:t>
      </w:r>
      <w:r w:rsidR="00E11DDF">
        <w:rPr>
          <w:rFonts w:hint="eastAsia"/>
        </w:rPr>
        <w:t>日本市場の縮小</w:t>
      </w:r>
      <w:r w:rsidR="00D94612">
        <w:rPr>
          <w:rFonts w:hint="eastAsia"/>
        </w:rPr>
        <w:t>」</w:t>
      </w:r>
      <w:r w:rsidR="00E11DDF">
        <w:rPr>
          <w:rFonts w:hint="eastAsia"/>
        </w:rPr>
        <w:t>である。</w:t>
      </w:r>
      <w:r w:rsidR="00F32970">
        <w:rPr>
          <w:rFonts w:hint="eastAsia"/>
        </w:rPr>
        <w:t>本章</w:t>
      </w:r>
      <w:r w:rsidR="00E11DDF">
        <w:rPr>
          <w:rFonts w:hint="eastAsia"/>
        </w:rPr>
        <w:t>では</w:t>
      </w:r>
      <w:r w:rsidR="00814E10">
        <w:rPr>
          <w:rFonts w:hint="eastAsia"/>
        </w:rPr>
        <w:t>５</w:t>
      </w:r>
      <w:r w:rsidR="00241F21">
        <w:rPr>
          <w:rFonts w:hint="eastAsia"/>
        </w:rPr>
        <w:t>つ</w:t>
      </w:r>
      <w:r w:rsidR="00E11DDF">
        <w:rPr>
          <w:rFonts w:hint="eastAsia"/>
        </w:rPr>
        <w:t>データを用いて、日本が現在置かれている状況を説明して</w:t>
      </w:r>
      <w:r w:rsidR="00A12B5A">
        <w:rPr>
          <w:rFonts w:hint="eastAsia"/>
        </w:rPr>
        <w:t>いく。</w:t>
      </w:r>
    </w:p>
    <w:p w14:paraId="09189B36" w14:textId="77777777" w:rsidR="000967C9" w:rsidRDefault="000967C9" w:rsidP="005603F5">
      <w:pPr>
        <w:ind w:firstLineChars="100" w:firstLine="210"/>
      </w:pPr>
    </w:p>
    <w:p w14:paraId="497E1935" w14:textId="31DC31F6" w:rsidR="00E11DDF" w:rsidRDefault="00482AF4" w:rsidP="00261A19">
      <w:r>
        <w:rPr>
          <w:rFonts w:hint="eastAsia"/>
        </w:rPr>
        <w:t>―</w:t>
      </w:r>
      <w:r w:rsidR="00E11DDF">
        <w:rPr>
          <w:rFonts w:hint="eastAsia"/>
        </w:rPr>
        <w:t>日本市場の縮小</w:t>
      </w:r>
      <w:r>
        <w:rPr>
          <w:rFonts w:hint="eastAsia"/>
        </w:rPr>
        <w:t>―</w:t>
      </w:r>
    </w:p>
    <w:p w14:paraId="0599F407" w14:textId="77777777" w:rsidR="00E11DDF" w:rsidRDefault="00E11DDF" w:rsidP="00E11DDF"/>
    <w:p w14:paraId="7E3367FD" w14:textId="3530B4CB" w:rsidR="00E11DDF" w:rsidRDefault="00E11DDF" w:rsidP="00482AF4">
      <w:pPr>
        <w:ind w:firstLineChars="100" w:firstLine="210"/>
        <w:rPr>
          <w:noProof/>
        </w:rPr>
      </w:pPr>
      <w:r>
        <w:rPr>
          <w:rFonts w:hint="eastAsia"/>
        </w:rPr>
        <w:t>図</w:t>
      </w:r>
      <w:r w:rsidR="002060F1">
        <w:rPr>
          <w:rFonts w:hint="eastAsia"/>
        </w:rPr>
        <w:t>2</w:t>
      </w:r>
      <w:r>
        <w:rPr>
          <w:rFonts w:hint="eastAsia"/>
        </w:rPr>
        <w:t>は、日本の人口増減数及び人口増減率の推移を表したデータである。図</w:t>
      </w:r>
      <w:r w:rsidR="002060F1">
        <w:rPr>
          <w:rFonts w:hint="eastAsia"/>
        </w:rPr>
        <w:t>2</w:t>
      </w:r>
      <w:r>
        <w:rPr>
          <w:rFonts w:hint="eastAsia"/>
        </w:rPr>
        <w:t>から日本の総人口は1970年代前半のピークを境に減少に転じ、2010年代から本格的な人口減少時代に入ったと分かる。</w:t>
      </w:r>
      <w:r>
        <w:rPr>
          <w:rFonts w:hint="eastAsia"/>
          <w:noProof/>
        </w:rPr>
        <w:t>人口</w:t>
      </w:r>
      <w:r w:rsidR="00EF6289">
        <w:rPr>
          <w:rFonts w:hint="eastAsia"/>
          <w:noProof/>
        </w:rPr>
        <w:t>の</w:t>
      </w:r>
      <w:r>
        <w:rPr>
          <w:rFonts w:hint="eastAsia"/>
          <w:noProof/>
        </w:rPr>
        <w:t>減少</w:t>
      </w:r>
      <w:r w:rsidR="00EF6289">
        <w:rPr>
          <w:rFonts w:hint="eastAsia"/>
          <w:noProof/>
        </w:rPr>
        <w:t>は、</w:t>
      </w:r>
      <w:r>
        <w:rPr>
          <w:rFonts w:hint="eastAsia"/>
          <w:noProof/>
        </w:rPr>
        <w:t>消費活動の減少</w:t>
      </w:r>
      <w:r w:rsidR="00EF6289">
        <w:rPr>
          <w:rFonts w:hint="eastAsia"/>
          <w:noProof/>
        </w:rPr>
        <w:t>に繋がる。</w:t>
      </w:r>
      <w:r w:rsidR="004B0AFA">
        <w:rPr>
          <w:rFonts w:hint="eastAsia"/>
          <w:noProof/>
        </w:rPr>
        <w:t>その</w:t>
      </w:r>
      <w:r>
        <w:rPr>
          <w:rFonts w:hint="eastAsia"/>
          <w:noProof/>
        </w:rPr>
        <w:t>結果、経済</w:t>
      </w:r>
      <w:r w:rsidR="00F04A1B">
        <w:rPr>
          <w:rFonts w:hint="eastAsia"/>
          <w:noProof/>
        </w:rPr>
        <w:t>が縮小する。</w:t>
      </w:r>
    </w:p>
    <w:p w14:paraId="15293EA3" w14:textId="4A6CBCD6" w:rsidR="00E11DDF" w:rsidRDefault="00E11DDF" w:rsidP="00482AF4">
      <w:pPr>
        <w:ind w:firstLineChars="100" w:firstLine="210"/>
        <w:rPr>
          <w:noProof/>
        </w:rPr>
      </w:pPr>
      <w:r>
        <w:rPr>
          <w:rFonts w:hint="eastAsia"/>
        </w:rPr>
        <w:t>図</w:t>
      </w:r>
      <w:r w:rsidR="002060F1">
        <w:rPr>
          <w:rFonts w:hint="eastAsia"/>
        </w:rPr>
        <w:t>3</w:t>
      </w:r>
      <w:r>
        <w:rPr>
          <w:rFonts w:hint="eastAsia"/>
        </w:rPr>
        <w:t>では、</w:t>
      </w:r>
      <w:r>
        <w:rPr>
          <w:rFonts w:hint="eastAsia"/>
          <w:noProof/>
        </w:rPr>
        <w:t>年齢区分別人口の推移を表したデータとなっている。65歳以上の割合が増加傾向にある一方、64歳以下は減少傾向にあり、1990年代後半には15歳未満と65歳以上の割合が逆転していることが分かる。</w:t>
      </w:r>
    </w:p>
    <w:p w14:paraId="4E409251" w14:textId="561567AB" w:rsidR="00E11DDF" w:rsidRDefault="00E11DDF" w:rsidP="00482AF4">
      <w:pPr>
        <w:ind w:firstLineChars="100" w:firstLine="210"/>
        <w:rPr>
          <w:noProof/>
        </w:rPr>
      </w:pPr>
      <w:r>
        <w:rPr>
          <w:rFonts w:hint="eastAsia"/>
          <w:noProof/>
        </w:rPr>
        <w:t>図</w:t>
      </w:r>
      <w:r w:rsidR="002060F1">
        <w:rPr>
          <w:rFonts w:hint="eastAsia"/>
          <w:noProof/>
        </w:rPr>
        <w:t>2</w:t>
      </w:r>
      <w:r>
        <w:rPr>
          <w:rFonts w:hint="eastAsia"/>
          <w:noProof/>
        </w:rPr>
        <w:t>と図</w:t>
      </w:r>
      <w:r w:rsidR="002060F1">
        <w:rPr>
          <w:rFonts w:hint="eastAsia"/>
          <w:noProof/>
        </w:rPr>
        <w:t>3</w:t>
      </w:r>
      <w:r>
        <w:rPr>
          <w:rFonts w:hint="eastAsia"/>
          <w:noProof/>
        </w:rPr>
        <w:t>のデータから、日本は少子高齢化社会に突入しており、15歳～64歳以下にあたる生産年齢人口と15歳以下にあたる年少人口の減少により、労働力の確保は今後より難しくなっていくと思われる。労働力の低下は国内総生産（GDP）に繋がるなど日本の市場に大きな影響を及ぼすことが想定される。</w:t>
      </w:r>
    </w:p>
    <w:p w14:paraId="0E36DC46" w14:textId="77777777" w:rsidR="00A96466" w:rsidRDefault="00A96466" w:rsidP="00482AF4">
      <w:pPr>
        <w:ind w:firstLineChars="100" w:firstLine="210"/>
        <w:rPr>
          <w:noProof/>
        </w:rPr>
      </w:pPr>
    </w:p>
    <w:p w14:paraId="1E39FA3B" w14:textId="5DC7245F" w:rsidR="00E11DDF" w:rsidRDefault="00E11DDF" w:rsidP="00E11DDF">
      <w:r>
        <w:rPr>
          <w:rFonts w:hint="eastAsia"/>
          <w:b/>
          <w:bCs/>
        </w:rPr>
        <w:t>図</w:t>
      </w:r>
      <w:r w:rsidR="002060F1">
        <w:rPr>
          <w:rFonts w:hint="eastAsia"/>
          <w:b/>
          <w:bCs/>
        </w:rPr>
        <w:t>2</w:t>
      </w:r>
      <w:r>
        <w:rPr>
          <w:rFonts w:hint="eastAsia"/>
        </w:rPr>
        <w:t xml:space="preserve">　日本における総人口の人口増減数及び人口増減率の推移（1950年～2019年）</w:t>
      </w:r>
    </w:p>
    <w:p w14:paraId="314163E1" w14:textId="610B12A9" w:rsidR="00E11DDF" w:rsidRDefault="00E11DDF" w:rsidP="00E11DDF">
      <w:r>
        <w:rPr>
          <w:noProof/>
        </w:rPr>
        <w:drawing>
          <wp:inline distT="0" distB="0" distL="0" distR="0" wp14:anchorId="3A3D26D2" wp14:editId="72C740BA">
            <wp:extent cx="4876800" cy="2809875"/>
            <wp:effectExtent l="0" t="0" r="0" b="9525"/>
            <wp:docPr id="5" name="図 5" descr="図1　総人口の人口増加数及び人口増減率の推移（1950年～2019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図1　総人口の人口増加数及び人口増減率の推移（1950年～2019年）"/>
                    <pic:cNvPicPr>
                      <a:picLocks noChangeAspect="1" noChangeArrowheads="1"/>
                    </pic:cNvPicPr>
                  </pic:nvPicPr>
                  <pic:blipFill>
                    <a:blip r:embed="rId6">
                      <a:extLst>
                        <a:ext uri="{28A0092B-C50C-407E-A947-70E740481C1C}">
                          <a14:useLocalDpi xmlns:a14="http://schemas.microsoft.com/office/drawing/2010/main" val="0"/>
                        </a:ext>
                      </a:extLst>
                    </a:blip>
                    <a:srcRect t="10175"/>
                    <a:stretch>
                      <a:fillRect/>
                    </a:stretch>
                  </pic:blipFill>
                  <pic:spPr bwMode="auto">
                    <a:xfrm>
                      <a:off x="0" y="0"/>
                      <a:ext cx="4876800" cy="2809875"/>
                    </a:xfrm>
                    <a:prstGeom prst="rect">
                      <a:avLst/>
                    </a:prstGeom>
                    <a:noFill/>
                    <a:ln>
                      <a:noFill/>
                    </a:ln>
                  </pic:spPr>
                </pic:pic>
              </a:graphicData>
            </a:graphic>
          </wp:inline>
        </w:drawing>
      </w:r>
    </w:p>
    <w:p w14:paraId="3229FCA6" w14:textId="21D4714C" w:rsidR="00E11DDF" w:rsidRPr="000967C9" w:rsidRDefault="00E11DDF" w:rsidP="000967C9">
      <w:pPr>
        <w:jc w:val="right"/>
      </w:pPr>
      <w:r>
        <w:rPr>
          <w:rFonts w:hint="eastAsia"/>
        </w:rPr>
        <w:t>（出典:総務省統計局 人口推計）</w:t>
      </w:r>
    </w:p>
    <w:p w14:paraId="0FCE3703" w14:textId="76DDF235" w:rsidR="00E11DDF" w:rsidRDefault="00E11DDF" w:rsidP="00E11DDF">
      <w:pPr>
        <w:rPr>
          <w:noProof/>
        </w:rPr>
      </w:pPr>
      <w:r>
        <w:rPr>
          <w:rFonts w:hint="eastAsia"/>
          <w:b/>
          <w:bCs/>
          <w:noProof/>
        </w:rPr>
        <w:lastRenderedPageBreak/>
        <w:t>図</w:t>
      </w:r>
      <w:r w:rsidR="00A21925">
        <w:rPr>
          <w:rFonts w:hint="eastAsia"/>
          <w:b/>
          <w:bCs/>
          <w:noProof/>
        </w:rPr>
        <w:t>3</w:t>
      </w:r>
      <w:r>
        <w:rPr>
          <w:rFonts w:hint="eastAsia"/>
          <w:noProof/>
        </w:rPr>
        <w:t xml:space="preserve">　日本における年齢区分別人口の割合の推移（1950年～2019年）</w:t>
      </w:r>
    </w:p>
    <w:p w14:paraId="7521253C" w14:textId="024F4754" w:rsidR="00E11DDF" w:rsidRDefault="00E11DDF" w:rsidP="00E11DDF">
      <w:pPr>
        <w:rPr>
          <w:noProof/>
        </w:rPr>
      </w:pPr>
      <w:r>
        <w:rPr>
          <w:noProof/>
        </w:rPr>
        <w:drawing>
          <wp:inline distT="0" distB="0" distL="0" distR="0" wp14:anchorId="57070CCC" wp14:editId="75A9D693">
            <wp:extent cx="3933825" cy="2501031"/>
            <wp:effectExtent l="0" t="0" r="0" b="0"/>
            <wp:docPr id="4" name="図 4" descr="図3　年齢区分別人口の割合の推移（1950年～2019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図3　年齢区分別人口の割合の推移（1950年～2019年）"/>
                    <pic:cNvPicPr>
                      <a:picLocks noChangeAspect="1" noChangeArrowheads="1"/>
                    </pic:cNvPicPr>
                  </pic:nvPicPr>
                  <pic:blipFill>
                    <a:blip r:embed="rId7">
                      <a:extLst>
                        <a:ext uri="{28A0092B-C50C-407E-A947-70E740481C1C}">
                          <a14:useLocalDpi xmlns:a14="http://schemas.microsoft.com/office/drawing/2010/main" val="0"/>
                        </a:ext>
                      </a:extLst>
                    </a:blip>
                    <a:srcRect t="7123" r="2180" b="2638"/>
                    <a:stretch>
                      <a:fillRect/>
                    </a:stretch>
                  </pic:blipFill>
                  <pic:spPr bwMode="auto">
                    <a:xfrm>
                      <a:off x="0" y="0"/>
                      <a:ext cx="3989034" cy="2536132"/>
                    </a:xfrm>
                    <a:prstGeom prst="rect">
                      <a:avLst/>
                    </a:prstGeom>
                    <a:noFill/>
                    <a:ln>
                      <a:noFill/>
                    </a:ln>
                  </pic:spPr>
                </pic:pic>
              </a:graphicData>
            </a:graphic>
          </wp:inline>
        </w:drawing>
      </w:r>
    </w:p>
    <w:p w14:paraId="3E493970" w14:textId="05FF2007" w:rsidR="00E11DDF" w:rsidRDefault="00E11DDF" w:rsidP="005066BC">
      <w:pPr>
        <w:jc w:val="right"/>
      </w:pPr>
      <w:r>
        <w:rPr>
          <w:rFonts w:hint="eastAsia"/>
        </w:rPr>
        <w:t>（出典:総務省統計局 人口推計）</w:t>
      </w:r>
    </w:p>
    <w:p w14:paraId="277C6916" w14:textId="77777777" w:rsidR="005066BC" w:rsidRDefault="005066BC" w:rsidP="005066BC">
      <w:pPr>
        <w:jc w:val="right"/>
      </w:pPr>
    </w:p>
    <w:p w14:paraId="1A2D653E" w14:textId="2CEF7F63" w:rsidR="00E11DDF" w:rsidRDefault="00E11DDF" w:rsidP="00CF5568">
      <w:pPr>
        <w:ind w:firstLineChars="100" w:firstLine="210"/>
      </w:pPr>
      <w:r>
        <w:rPr>
          <w:rFonts w:hint="eastAsia"/>
        </w:rPr>
        <w:t>ではGDP</w:t>
      </w:r>
      <w:r w:rsidR="00AF52C1">
        <w:rPr>
          <w:rFonts w:hint="eastAsia"/>
        </w:rPr>
        <w:t>成長率</w:t>
      </w:r>
      <w:r>
        <w:rPr>
          <w:rFonts w:hint="eastAsia"/>
        </w:rPr>
        <w:t>の推移はどうなっているか。</w:t>
      </w:r>
    </w:p>
    <w:p w14:paraId="1F939E04" w14:textId="03E66585" w:rsidR="00DF5127" w:rsidRDefault="00E11DDF" w:rsidP="00CF5568">
      <w:pPr>
        <w:ind w:firstLineChars="100" w:firstLine="210"/>
      </w:pPr>
      <w:r>
        <w:rPr>
          <w:rFonts w:hint="eastAsia"/>
        </w:rPr>
        <w:t>図</w:t>
      </w:r>
      <w:r w:rsidR="00CF5568">
        <w:rPr>
          <w:rFonts w:hint="eastAsia"/>
        </w:rPr>
        <w:t>4</w:t>
      </w:r>
      <w:r>
        <w:rPr>
          <w:rFonts w:hint="eastAsia"/>
        </w:rPr>
        <w:t>では、日本のGDP成長率を実質GDP・名目GDPの観点から日本市場の現状を表している。この統計は2001年から取り上げているが、既に実質GDP</w:t>
      </w:r>
      <w:r w:rsidR="00AA6BA3">
        <w:rPr>
          <w:rFonts w:hint="eastAsia"/>
        </w:rPr>
        <w:t>成長率</w:t>
      </w:r>
      <w:r>
        <w:rPr>
          <w:rFonts w:hint="eastAsia"/>
        </w:rPr>
        <w:t>は1％未満な上に、名目GDP</w:t>
      </w:r>
      <w:r w:rsidR="00AF52C1">
        <w:rPr>
          <w:rFonts w:hint="eastAsia"/>
        </w:rPr>
        <w:t>成長率</w:t>
      </w:r>
      <w:r>
        <w:rPr>
          <w:rFonts w:hint="eastAsia"/>
        </w:rPr>
        <w:t>はマイナスと経済成長率は低迷している。その後もリーマンショックと東日本大震災により日本経済に打撃を与えているものの、その影響を抜きに全体を見てもGDP成長率は依然と低い状態</w:t>
      </w:r>
      <w:r w:rsidR="005E172D">
        <w:rPr>
          <w:rFonts w:hint="eastAsia"/>
        </w:rPr>
        <w:t>である</w:t>
      </w:r>
      <w:r w:rsidR="00D90C12">
        <w:rPr>
          <w:rFonts w:hint="eastAsia"/>
        </w:rPr>
        <w:t>。</w:t>
      </w:r>
    </w:p>
    <w:p w14:paraId="16813C9D" w14:textId="77777777" w:rsidR="003440DD" w:rsidRDefault="003440DD" w:rsidP="00DF5127">
      <w:pPr>
        <w:pStyle w:val="a3"/>
        <w:ind w:leftChars="0" w:left="360" w:firstLineChars="100" w:firstLine="210"/>
      </w:pPr>
    </w:p>
    <w:p w14:paraId="221BA2DD" w14:textId="599AB99E" w:rsidR="00E11DDF" w:rsidRDefault="00E11DDF" w:rsidP="00E11DDF">
      <w:pPr>
        <w:rPr>
          <w:b/>
          <w:bCs/>
        </w:rPr>
      </w:pPr>
      <w:r>
        <w:rPr>
          <w:rFonts w:hint="eastAsia"/>
          <w:b/>
          <w:bCs/>
        </w:rPr>
        <w:t>図</w:t>
      </w:r>
      <w:r w:rsidR="00A21925">
        <w:rPr>
          <w:rFonts w:hint="eastAsia"/>
          <w:b/>
          <w:bCs/>
        </w:rPr>
        <w:t>4</w:t>
      </w:r>
      <w:r w:rsidR="009B2B80">
        <w:rPr>
          <w:rFonts w:hint="eastAsia"/>
          <w:b/>
          <w:bCs/>
        </w:rPr>
        <w:t xml:space="preserve">　</w:t>
      </w:r>
      <w:r w:rsidR="009B2B80" w:rsidRPr="00D7205F">
        <w:rPr>
          <w:rFonts w:hint="eastAsia"/>
        </w:rPr>
        <w:t>日本のG</w:t>
      </w:r>
      <w:r w:rsidR="009B2B80" w:rsidRPr="00D7205F">
        <w:t>DP</w:t>
      </w:r>
      <w:r w:rsidR="009B2B80" w:rsidRPr="00D7205F">
        <w:rPr>
          <w:rFonts w:hint="eastAsia"/>
        </w:rPr>
        <w:t>成長率</w:t>
      </w:r>
      <w:r w:rsidR="00D7205F" w:rsidRPr="00D7205F">
        <w:rPr>
          <w:rFonts w:hint="eastAsia"/>
        </w:rPr>
        <w:t>（</w:t>
      </w:r>
      <w:r w:rsidR="00CB6D61">
        <w:rPr>
          <w:rFonts w:hint="eastAsia"/>
        </w:rPr>
        <w:t>前年比</w:t>
      </w:r>
      <w:r w:rsidR="00D7205F" w:rsidRPr="00D7205F">
        <w:rPr>
          <w:rFonts w:hint="eastAsia"/>
        </w:rPr>
        <w:t>）</w:t>
      </w:r>
    </w:p>
    <w:p w14:paraId="1943BE59" w14:textId="2D0B4D5C" w:rsidR="00E11DDF" w:rsidRDefault="00E11DDF" w:rsidP="00E11DDF">
      <w:r>
        <w:rPr>
          <w:noProof/>
        </w:rPr>
        <w:drawing>
          <wp:inline distT="0" distB="0" distL="0" distR="0" wp14:anchorId="4482C507" wp14:editId="3371BA78">
            <wp:extent cx="4581525" cy="2752725"/>
            <wp:effectExtent l="0" t="0" r="9525" b="9525"/>
            <wp:docPr id="7" name="グラフ 7">
              <a:extLst xmlns:a="http://schemas.openxmlformats.org/drawingml/2006/main">
                <a:ext uri="{FF2B5EF4-FFF2-40B4-BE49-F238E27FC236}">
                  <a16:creationId xmlns:a16="http://schemas.microsoft.com/office/drawing/2014/main" id="{A79646C5-1F06-40EE-9628-BBAE22980C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6EA0970" w14:textId="77777777" w:rsidR="00E11DDF" w:rsidRDefault="00E11DDF" w:rsidP="00E11DDF">
      <w:pPr>
        <w:jc w:val="right"/>
      </w:pPr>
      <w:r>
        <w:rPr>
          <w:rFonts w:hint="eastAsia"/>
        </w:rPr>
        <w:t>(出典: ガーベジニュースに記載されているデータより作成)</w:t>
      </w:r>
    </w:p>
    <w:p w14:paraId="6B78F4DD" w14:textId="02AEA676" w:rsidR="00E11DDF" w:rsidRDefault="00E11DDF" w:rsidP="003E1BAA">
      <w:pPr>
        <w:ind w:firstLineChars="100" w:firstLine="210"/>
      </w:pPr>
      <w:r>
        <w:rPr>
          <w:rFonts w:hint="eastAsia"/>
        </w:rPr>
        <w:lastRenderedPageBreak/>
        <w:t>海外諸国と日本のGDP</w:t>
      </w:r>
      <w:r w:rsidR="005C085D">
        <w:rPr>
          <w:rFonts w:hint="eastAsia"/>
        </w:rPr>
        <w:t>成長率</w:t>
      </w:r>
      <w:r>
        <w:rPr>
          <w:rFonts w:hint="eastAsia"/>
        </w:rPr>
        <w:t>を比較するとどうなるか。</w:t>
      </w:r>
    </w:p>
    <w:p w14:paraId="1A56A0B3" w14:textId="414BAC96" w:rsidR="00E11DDF" w:rsidRDefault="00E11DDF" w:rsidP="003E1BAA">
      <w:pPr>
        <w:ind w:firstLineChars="100" w:firstLine="210"/>
      </w:pPr>
      <w:r>
        <w:rPr>
          <w:rFonts w:hint="eastAsia"/>
        </w:rPr>
        <w:t>図</w:t>
      </w:r>
      <w:r w:rsidR="00771160">
        <w:rPr>
          <w:rFonts w:hint="eastAsia"/>
        </w:rPr>
        <w:t>5</w:t>
      </w:r>
      <w:r>
        <w:rPr>
          <w:rFonts w:hint="eastAsia"/>
        </w:rPr>
        <w:t>は日本含めた計７か国の実質GDPの推移を並べたデータである。このデータから、先進国と新興国のGDP成長率の格差が最初に目に入る。同時に、日本含む先進国5か国の中で日本は下位の成長率</w:t>
      </w:r>
      <w:r w:rsidR="00050741">
        <w:rPr>
          <w:rFonts w:hint="eastAsia"/>
        </w:rPr>
        <w:t>である</w:t>
      </w:r>
      <w:r>
        <w:rPr>
          <w:rFonts w:hint="eastAsia"/>
        </w:rPr>
        <w:t>ことが確認できる。図</w:t>
      </w:r>
      <w:r w:rsidR="00771160">
        <w:rPr>
          <w:rFonts w:hint="eastAsia"/>
        </w:rPr>
        <w:t>6</w:t>
      </w:r>
      <w:r>
        <w:rPr>
          <w:rFonts w:hint="eastAsia"/>
        </w:rPr>
        <w:t>では、世界全体と日本の実質GDPの推移を比較しており、日本は先進国の中においても平均以下の成長率となっているなど、日本は世界から見ても</w:t>
      </w:r>
      <w:r w:rsidR="00667138">
        <w:rPr>
          <w:rFonts w:hint="eastAsia"/>
        </w:rPr>
        <w:t>成長率が低い</w:t>
      </w:r>
      <w:r w:rsidR="005E172D">
        <w:rPr>
          <w:rFonts w:hint="eastAsia"/>
        </w:rPr>
        <w:t>状態が続いている</w:t>
      </w:r>
      <w:r>
        <w:rPr>
          <w:rFonts w:hint="eastAsia"/>
        </w:rPr>
        <w:t>。</w:t>
      </w:r>
    </w:p>
    <w:p w14:paraId="115BF283" w14:textId="77777777" w:rsidR="00201F3F" w:rsidRDefault="00201F3F" w:rsidP="003E1BAA">
      <w:pPr>
        <w:ind w:firstLineChars="100" w:firstLine="210"/>
      </w:pPr>
    </w:p>
    <w:p w14:paraId="085FA169" w14:textId="10CF064F" w:rsidR="00E11DDF" w:rsidRPr="008A5662" w:rsidRDefault="00E11DDF" w:rsidP="00E11DDF">
      <w:pPr>
        <w:pStyle w:val="a3"/>
        <w:ind w:leftChars="0" w:left="360"/>
        <w:rPr>
          <w:b/>
          <w:bCs/>
        </w:rPr>
      </w:pPr>
      <w:r>
        <w:rPr>
          <w:rFonts w:hint="eastAsia"/>
          <w:b/>
          <w:bCs/>
        </w:rPr>
        <w:t>図</w:t>
      </w:r>
      <w:r w:rsidR="003D66DC">
        <w:rPr>
          <w:rFonts w:hint="eastAsia"/>
          <w:b/>
          <w:bCs/>
        </w:rPr>
        <w:t xml:space="preserve">5　</w:t>
      </w:r>
      <w:r w:rsidR="008A5662" w:rsidRPr="008A5662">
        <w:rPr>
          <w:rFonts w:hint="eastAsia"/>
        </w:rPr>
        <w:t>7か国 実質GDP成長率 推移</w:t>
      </w:r>
    </w:p>
    <w:p w14:paraId="57BFFD54" w14:textId="1136640B" w:rsidR="00E11DDF" w:rsidRDefault="00E11DDF" w:rsidP="00E11DDF">
      <w:pPr>
        <w:pStyle w:val="a3"/>
        <w:ind w:leftChars="0" w:left="360"/>
      </w:pPr>
      <w:r>
        <w:rPr>
          <w:noProof/>
        </w:rPr>
        <w:drawing>
          <wp:inline distT="0" distB="0" distL="0" distR="0" wp14:anchorId="67CD6BFE" wp14:editId="6802DBDB">
            <wp:extent cx="4552950" cy="2735556"/>
            <wp:effectExtent l="0" t="0" r="0" b="8255"/>
            <wp:docPr id="8" name="グラフ 8">
              <a:extLst xmlns:a="http://schemas.openxmlformats.org/drawingml/2006/main">
                <a:ext uri="{FF2B5EF4-FFF2-40B4-BE49-F238E27FC236}">
                  <a16:creationId xmlns:a16="http://schemas.microsoft.com/office/drawing/2014/main" id="{A7B1692E-7CDA-42FC-956C-5EB360701A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B666497" w14:textId="77777777" w:rsidR="00E11DDF" w:rsidRDefault="00E11DDF" w:rsidP="00E11DDF">
      <w:pPr>
        <w:pStyle w:val="a3"/>
        <w:ind w:leftChars="0" w:left="360"/>
        <w:jc w:val="right"/>
      </w:pPr>
      <w:r>
        <w:rPr>
          <w:rFonts w:hint="eastAsia"/>
        </w:rPr>
        <w:t>(出典:ファイナンシャルスター、グローバルノートより作成)</w:t>
      </w:r>
    </w:p>
    <w:p w14:paraId="222DF655" w14:textId="7CA01E16" w:rsidR="00E11DDF" w:rsidRDefault="00E11DDF" w:rsidP="00E11DDF">
      <w:pPr>
        <w:pStyle w:val="a3"/>
        <w:ind w:leftChars="0" w:left="360"/>
        <w:jc w:val="right"/>
      </w:pPr>
      <w:r>
        <w:rPr>
          <w:rFonts w:hint="eastAsia"/>
        </w:rPr>
        <w:t>※上記二つはIMF</w:t>
      </w:r>
      <w:r w:rsidR="001245D1">
        <w:rPr>
          <w:rFonts w:hint="eastAsia"/>
        </w:rPr>
        <w:t>から</w:t>
      </w:r>
      <w:r>
        <w:rPr>
          <w:rFonts w:hint="eastAsia"/>
        </w:rPr>
        <w:t>引用</w:t>
      </w:r>
    </w:p>
    <w:p w14:paraId="584FEFEC" w14:textId="27EED2B1" w:rsidR="00E11DDF" w:rsidRDefault="00E11DDF" w:rsidP="00E11DDF">
      <w:pPr>
        <w:pStyle w:val="a3"/>
        <w:ind w:leftChars="0" w:left="360"/>
        <w:rPr>
          <w:b/>
          <w:bCs/>
        </w:rPr>
      </w:pPr>
      <w:r>
        <w:rPr>
          <w:rFonts w:hint="eastAsia"/>
          <w:b/>
          <w:bCs/>
        </w:rPr>
        <w:t>図5</w:t>
      </w:r>
      <w:r w:rsidR="00475E07">
        <w:rPr>
          <w:rFonts w:hint="eastAsia"/>
          <w:b/>
          <w:bCs/>
        </w:rPr>
        <w:t xml:space="preserve">　</w:t>
      </w:r>
      <w:r w:rsidR="00475E07" w:rsidRPr="00475E07">
        <w:rPr>
          <w:rFonts w:hint="eastAsia"/>
        </w:rPr>
        <w:t>世界 実質GDP成長率 推移</w:t>
      </w:r>
    </w:p>
    <w:p w14:paraId="0DB410CC" w14:textId="4ABCE354" w:rsidR="00E11DDF" w:rsidRDefault="00E11DDF" w:rsidP="00E11DDF">
      <w:pPr>
        <w:pStyle w:val="a3"/>
        <w:ind w:leftChars="0" w:left="360"/>
      </w:pPr>
      <w:r>
        <w:rPr>
          <w:rFonts w:hint="eastAsia"/>
          <w:noProof/>
        </w:rPr>
        <w:drawing>
          <wp:inline distT="0" distB="0" distL="0" distR="0" wp14:anchorId="4EB4CFEE" wp14:editId="14796C45">
            <wp:extent cx="4152900" cy="2495194"/>
            <wp:effectExtent l="0" t="0" r="0" b="635"/>
            <wp:docPr id="3" name="グラフ 3">
              <a:extLst xmlns:a="http://schemas.openxmlformats.org/drawingml/2006/main">
                <a:ext uri="{FF2B5EF4-FFF2-40B4-BE49-F238E27FC236}">
                  <a16:creationId xmlns:a16="http://schemas.microsoft.com/office/drawing/2014/main" id="{EB13FB24-0A0E-41A5-B875-846F79AD5D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FF51057" w14:textId="77777777" w:rsidR="00E11DDF" w:rsidRDefault="00E11DDF" w:rsidP="00E11DDF">
      <w:pPr>
        <w:pStyle w:val="a3"/>
        <w:ind w:leftChars="0" w:left="360"/>
        <w:jc w:val="right"/>
      </w:pPr>
      <w:r>
        <w:rPr>
          <w:rFonts w:hint="eastAsia"/>
        </w:rPr>
        <w:t>(出典:ファイナンシャルスター、IMFより作成)</w:t>
      </w:r>
    </w:p>
    <w:p w14:paraId="6532E529" w14:textId="388C70BE" w:rsidR="00E11DDF" w:rsidRDefault="00E11DDF" w:rsidP="00483C68">
      <w:pPr>
        <w:pStyle w:val="a3"/>
        <w:ind w:leftChars="0" w:left="360"/>
        <w:jc w:val="right"/>
      </w:pPr>
      <w:r>
        <w:rPr>
          <w:rFonts w:hint="eastAsia"/>
        </w:rPr>
        <w:t>※ファイナンシャルスターはIMF</w:t>
      </w:r>
      <w:r w:rsidR="00F14DFD">
        <w:rPr>
          <w:rFonts w:hint="eastAsia"/>
        </w:rPr>
        <w:t>から</w:t>
      </w:r>
      <w:r>
        <w:rPr>
          <w:rFonts w:hint="eastAsia"/>
        </w:rPr>
        <w:t>引用</w:t>
      </w:r>
    </w:p>
    <w:p w14:paraId="3A60D506" w14:textId="77777777" w:rsidR="007A61BA" w:rsidRDefault="00E76715" w:rsidP="0038318A">
      <w:pPr>
        <w:ind w:firstLineChars="100" w:firstLine="210"/>
      </w:pPr>
      <w:r>
        <w:rPr>
          <w:rFonts w:hint="eastAsia"/>
        </w:rPr>
        <w:lastRenderedPageBreak/>
        <w:t>「日本市場の縮小」</w:t>
      </w:r>
      <w:r w:rsidR="00E11DDF">
        <w:rPr>
          <w:rFonts w:hint="eastAsia"/>
        </w:rPr>
        <w:t>で述べた通り、</w:t>
      </w:r>
      <w:r w:rsidR="00483C68">
        <w:rPr>
          <w:rFonts w:hint="eastAsia"/>
        </w:rPr>
        <w:t>二</w:t>
      </w:r>
      <w:r w:rsidR="00E11DDF">
        <w:rPr>
          <w:rFonts w:hint="eastAsia"/>
        </w:rPr>
        <w:t>つの要因（少子高齢化・GDPの低成長）により、日本市場は確実に縮小の道を辿っている。日本企業が今後も成長していくためには、M&amp;Aを活用した海外戦略を行っていか</w:t>
      </w:r>
      <w:r w:rsidR="00926C2C">
        <w:rPr>
          <w:rFonts w:hint="eastAsia"/>
        </w:rPr>
        <w:t>なけれ</w:t>
      </w:r>
      <w:r w:rsidR="00E11DDF">
        <w:rPr>
          <w:rFonts w:hint="eastAsia"/>
        </w:rPr>
        <w:t>ばならない。</w:t>
      </w:r>
      <w:r w:rsidR="00C0142B">
        <w:rPr>
          <w:rFonts w:hint="eastAsia"/>
        </w:rPr>
        <w:t>勿論、</w:t>
      </w:r>
      <w:r w:rsidR="00E11DDF">
        <w:rPr>
          <w:rFonts w:hint="eastAsia"/>
        </w:rPr>
        <w:t>M&amp;A</w:t>
      </w:r>
      <w:r w:rsidR="00E063D2">
        <w:rPr>
          <w:rFonts w:hint="eastAsia"/>
        </w:rPr>
        <w:t>は</w:t>
      </w:r>
      <w:r w:rsidR="002F551F">
        <w:rPr>
          <w:rFonts w:hint="eastAsia"/>
        </w:rPr>
        <w:t>メリットばかりではない。</w:t>
      </w:r>
      <w:r w:rsidR="0038318A">
        <w:rPr>
          <w:rFonts w:hint="eastAsia"/>
        </w:rPr>
        <w:t>とき</w:t>
      </w:r>
      <w:r w:rsidR="001C3EC9">
        <w:rPr>
          <w:rFonts w:hint="eastAsia"/>
        </w:rPr>
        <w:t>には</w:t>
      </w:r>
      <w:r w:rsidR="00B024B9">
        <w:rPr>
          <w:rFonts w:hint="eastAsia"/>
        </w:rPr>
        <w:t>企業</w:t>
      </w:r>
      <w:r w:rsidR="00FA2943">
        <w:rPr>
          <w:rFonts w:hint="eastAsia"/>
        </w:rPr>
        <w:t>の利益を大きく損ねる</w:t>
      </w:r>
      <w:r w:rsidR="00773222">
        <w:rPr>
          <w:rFonts w:hint="eastAsia"/>
        </w:rPr>
        <w:t>可能性が</w:t>
      </w:r>
      <w:r w:rsidR="0038318A">
        <w:rPr>
          <w:rFonts w:hint="eastAsia"/>
        </w:rPr>
        <w:t>あ</w:t>
      </w:r>
      <w:r w:rsidR="00773222">
        <w:rPr>
          <w:rFonts w:hint="eastAsia"/>
        </w:rPr>
        <w:t>る</w:t>
      </w:r>
      <w:r w:rsidR="0038318A">
        <w:rPr>
          <w:rFonts w:hint="eastAsia"/>
        </w:rPr>
        <w:t>。</w:t>
      </w:r>
    </w:p>
    <w:p w14:paraId="283F94A6" w14:textId="28528AFA" w:rsidR="00E11DDF" w:rsidRDefault="00C439FA" w:rsidP="0038318A">
      <w:pPr>
        <w:ind w:firstLineChars="100" w:firstLine="210"/>
      </w:pPr>
      <w:r>
        <w:rPr>
          <w:rFonts w:hint="eastAsia"/>
        </w:rPr>
        <w:t>次のケーススタディでは、</w:t>
      </w:r>
      <w:r w:rsidR="00C55736">
        <w:rPr>
          <w:rFonts w:hint="eastAsia"/>
        </w:rPr>
        <w:t>海外M&amp;Aの</w:t>
      </w:r>
      <w:r w:rsidR="00AB51A3">
        <w:rPr>
          <w:rFonts w:hint="eastAsia"/>
        </w:rPr>
        <w:t>成功例・失敗例</w:t>
      </w:r>
      <w:r w:rsidR="009260EB">
        <w:rPr>
          <w:rFonts w:hint="eastAsia"/>
        </w:rPr>
        <w:t>、</w:t>
      </w:r>
      <w:r w:rsidR="0055406D">
        <w:rPr>
          <w:rFonts w:hint="eastAsia"/>
        </w:rPr>
        <w:t>二つ</w:t>
      </w:r>
      <w:r w:rsidR="00AF586F">
        <w:rPr>
          <w:rFonts w:hint="eastAsia"/>
        </w:rPr>
        <w:t>の</w:t>
      </w:r>
      <w:r w:rsidR="000539DE">
        <w:rPr>
          <w:rFonts w:hint="eastAsia"/>
        </w:rPr>
        <w:t>実例を</w:t>
      </w:r>
      <w:r w:rsidR="00697C7A">
        <w:rPr>
          <w:rFonts w:hint="eastAsia"/>
        </w:rPr>
        <w:t>見</w:t>
      </w:r>
      <w:r w:rsidR="00B574C6">
        <w:rPr>
          <w:rFonts w:hint="eastAsia"/>
        </w:rPr>
        <w:t>ていき、</w:t>
      </w:r>
      <w:r w:rsidR="000722C3">
        <w:rPr>
          <w:rFonts w:hint="eastAsia"/>
        </w:rPr>
        <w:t>海外M&amp;Aの</w:t>
      </w:r>
      <w:r w:rsidR="00B66581">
        <w:rPr>
          <w:rFonts w:hint="eastAsia"/>
        </w:rPr>
        <w:t>難しさ</w:t>
      </w:r>
      <w:r w:rsidR="00737CBC">
        <w:rPr>
          <w:rFonts w:hint="eastAsia"/>
        </w:rPr>
        <w:t>と可能性</w:t>
      </w:r>
      <w:r w:rsidR="00B66581">
        <w:rPr>
          <w:rFonts w:hint="eastAsia"/>
        </w:rPr>
        <w:t>を</w:t>
      </w:r>
      <w:r w:rsidR="00A205B7">
        <w:rPr>
          <w:rFonts w:hint="eastAsia"/>
        </w:rPr>
        <w:t>確認</w:t>
      </w:r>
      <w:r w:rsidR="0072407B">
        <w:rPr>
          <w:rFonts w:hint="eastAsia"/>
        </w:rPr>
        <w:t>していく</w:t>
      </w:r>
      <w:r w:rsidR="00A205B7">
        <w:rPr>
          <w:rFonts w:hint="eastAsia"/>
        </w:rPr>
        <w:t>。</w:t>
      </w:r>
    </w:p>
    <w:p w14:paraId="2A36699D" w14:textId="6BBDE0E1" w:rsidR="00E11DDF" w:rsidRDefault="00E11DDF" w:rsidP="00E11DDF">
      <w:r>
        <w:rPr>
          <w:rFonts w:hint="eastAsia"/>
        </w:rPr>
        <w:t xml:space="preserve">　</w:t>
      </w:r>
    </w:p>
    <w:p w14:paraId="6E69195D" w14:textId="77777777" w:rsidR="00DB5F0C" w:rsidRDefault="00DB5F0C" w:rsidP="00E11DDF"/>
    <w:p w14:paraId="0C6C29A1" w14:textId="6323B404" w:rsidR="00C42E65" w:rsidRPr="00DB5F0C" w:rsidRDefault="00DB5F0C" w:rsidP="00967063">
      <w:r>
        <w:rPr>
          <w:rFonts w:hint="eastAsia"/>
        </w:rPr>
        <w:t>―ケーススタディ―</w:t>
      </w:r>
    </w:p>
    <w:p w14:paraId="6231FFA3" w14:textId="77777777" w:rsidR="000A436E" w:rsidRDefault="000A436E" w:rsidP="000A436E"/>
    <w:p w14:paraId="6E974B87" w14:textId="77777777" w:rsidR="00375B13" w:rsidRDefault="00C450FB" w:rsidP="001B1C89">
      <w:pPr>
        <w:pStyle w:val="a3"/>
        <w:numPr>
          <w:ilvl w:val="0"/>
          <w:numId w:val="3"/>
        </w:numPr>
        <w:ind w:leftChars="0"/>
      </w:pPr>
      <w:r>
        <w:rPr>
          <w:rFonts w:hint="eastAsia"/>
        </w:rPr>
        <w:t xml:space="preserve"> </w:t>
      </w:r>
      <w:r w:rsidR="00733238">
        <w:rPr>
          <w:rFonts w:hint="eastAsia"/>
        </w:rPr>
        <w:t>海外M&amp;A</w:t>
      </w:r>
      <w:r w:rsidR="00375B13">
        <w:rPr>
          <w:rFonts w:hint="eastAsia"/>
        </w:rPr>
        <w:t xml:space="preserve"> </w:t>
      </w:r>
      <w:r w:rsidR="00733238">
        <w:rPr>
          <w:rFonts w:hint="eastAsia"/>
        </w:rPr>
        <w:t>失敗事例</w:t>
      </w:r>
    </w:p>
    <w:p w14:paraId="0419C066" w14:textId="53DD5F21" w:rsidR="00733238" w:rsidRDefault="001B1C89" w:rsidP="00375B13">
      <w:pPr>
        <w:pStyle w:val="a3"/>
        <w:ind w:leftChars="0" w:left="360"/>
      </w:pPr>
      <w:r>
        <w:rPr>
          <w:rFonts w:hint="eastAsia"/>
        </w:rPr>
        <w:t>【</w:t>
      </w:r>
      <w:r w:rsidR="00733238">
        <w:rPr>
          <w:rFonts w:hint="eastAsia"/>
        </w:rPr>
        <w:t>第一三共</w:t>
      </w:r>
      <w:r>
        <w:rPr>
          <w:rFonts w:hint="eastAsia"/>
        </w:rPr>
        <w:t>】</w:t>
      </w:r>
    </w:p>
    <w:p w14:paraId="6AF6C931" w14:textId="77777777" w:rsidR="00733238" w:rsidRDefault="00733238" w:rsidP="00733238"/>
    <w:p w14:paraId="1891493A" w14:textId="77777777" w:rsidR="00733238" w:rsidRDefault="00733238" w:rsidP="00733238">
      <w:pPr>
        <w:ind w:firstLineChars="100" w:firstLine="210"/>
      </w:pPr>
      <w:r>
        <w:rPr>
          <w:rFonts w:hint="eastAsia"/>
        </w:rPr>
        <w:t>2008年、第一三共は印のジェネリック医薬品メーカー ランバンクシーの株式の63.4％を4900億円で取得した。安定した収益基盤となるジェネリック医薬品とランバンクシーが持つアフリカの販路を確保し、シナジー効果を狙っていたが、失敗に終わった。</w:t>
      </w:r>
    </w:p>
    <w:p w14:paraId="18B2E341" w14:textId="77777777" w:rsidR="00733238" w:rsidRDefault="00733238" w:rsidP="00733238">
      <w:pPr>
        <w:ind w:firstLineChars="100" w:firstLine="210"/>
        <w:rPr>
          <w:rFonts w:asciiTheme="minorEastAsia" w:hAnsiTheme="minorEastAsia"/>
          <w:szCs w:val="21"/>
        </w:rPr>
      </w:pPr>
      <w:r>
        <w:rPr>
          <w:rFonts w:hint="eastAsia"/>
        </w:rPr>
        <w:t>第一三共がランバンクシーを買収した直後、FDA(米国食品医薬品局)が、ランバンクシーにインド２工場の品質管理体制を指摘し、対米輸出を禁止する措置をとった。</w:t>
      </w:r>
    </w:p>
    <w:p w14:paraId="21C4FC66" w14:textId="77777777" w:rsidR="00733238" w:rsidRDefault="00733238" w:rsidP="00733238">
      <w:r>
        <w:rPr>
          <w:rFonts w:hint="eastAsia"/>
        </w:rPr>
        <w:t>ランバンクシーの売上の四分の一を米国が占めていた上、禁輸措置を取られた二つの工場で対米売上の半分を製造していたため、株価が急落。第一三共は3540億円もの特別損失を出すことになった。問題は続く。ランバンクシーが虚偽データをFDAに申請していたとして、一部の医薬品の取り下げを求めた。その後もランバンクシーは和解金の支払いの他、追加の禁輸措置を取られる事態になる。</w:t>
      </w:r>
    </w:p>
    <w:p w14:paraId="1D1388FC" w14:textId="77777777" w:rsidR="00733238" w:rsidRDefault="00733238" w:rsidP="00733238">
      <w:pPr>
        <w:ind w:firstLineChars="100" w:firstLine="210"/>
      </w:pPr>
      <w:r>
        <w:rPr>
          <w:rFonts w:hint="eastAsia"/>
        </w:rPr>
        <w:t>この買収の失敗の原因は、DD(価値査定)とガバナンス（経営統治）を軽視したことにある。DDとは「リスクの特定」や「得られるモノを見極める判断材料を揃える」ために必要な情報（財務・法務・税務・ビジネスなど）を調査することである。</w:t>
      </w:r>
    </w:p>
    <w:p w14:paraId="117ADA4E" w14:textId="77777777" w:rsidR="00733238" w:rsidRDefault="00733238" w:rsidP="00733238">
      <w:pPr>
        <w:ind w:firstLineChars="100" w:firstLine="210"/>
      </w:pPr>
      <w:r>
        <w:rPr>
          <w:rFonts w:hint="eastAsia"/>
        </w:rPr>
        <w:t>特に海外M&amp;Aは、得られる情報が国内案件と比べて少ない上に、対象会社のビジネスモデルに対する知識も乏しい中行われる。中には日本企業では想定できないリスクを孕んでいる可能性があり、DDの存在は極めて重要である。しかし、第一三共はDDの段階でランバンクシーがFDAから警告を受けていたと承知していた。さらに補填が盛り込まれた契約書を記載していない状態で、禁輸措置という最悪な状況を迎えることになった。</w:t>
      </w:r>
    </w:p>
    <w:p w14:paraId="3115A300" w14:textId="77777777" w:rsidR="00733238" w:rsidRDefault="00733238" w:rsidP="00733238">
      <w:pPr>
        <w:ind w:firstLineChars="100" w:firstLine="210"/>
      </w:pPr>
      <w:r>
        <w:rPr>
          <w:rFonts w:hint="eastAsia"/>
        </w:rPr>
        <w:t>ガバナンスの観点においては日本とインドの会社の性質の違いを理由に、ハンドリングをあえて行わない、つまりランバンクシー側に経営を丸投げした。その結果、無法責任体制となり品質問題を洗い流すことが出来なかった。</w:t>
      </w:r>
    </w:p>
    <w:p w14:paraId="261B077A" w14:textId="77777777" w:rsidR="00733238" w:rsidRDefault="00733238" w:rsidP="00733238">
      <w:pPr>
        <w:ind w:firstLineChars="100" w:firstLine="210"/>
      </w:pPr>
      <w:r>
        <w:rPr>
          <w:rFonts w:hint="eastAsia"/>
        </w:rPr>
        <w:t>2014年、第一三共はランバンクシーを売却することになる。</w:t>
      </w:r>
    </w:p>
    <w:p w14:paraId="03E90563" w14:textId="1D805CEA" w:rsidR="00375B13" w:rsidRDefault="00375B13" w:rsidP="00733238"/>
    <w:p w14:paraId="0E3A3654" w14:textId="77777777" w:rsidR="002A1924" w:rsidRDefault="0041264C" w:rsidP="002A1924">
      <w:pPr>
        <w:pStyle w:val="a3"/>
        <w:numPr>
          <w:ilvl w:val="0"/>
          <w:numId w:val="3"/>
        </w:numPr>
        <w:ind w:leftChars="0"/>
      </w:pPr>
      <w:r>
        <w:rPr>
          <w:rFonts w:hint="eastAsia"/>
        </w:rPr>
        <w:lastRenderedPageBreak/>
        <w:t>海外</w:t>
      </w:r>
      <w:r w:rsidR="00733238">
        <w:rPr>
          <w:rFonts w:hint="eastAsia"/>
        </w:rPr>
        <w:t>M&amp;A</w:t>
      </w:r>
      <w:r>
        <w:t xml:space="preserve"> </w:t>
      </w:r>
      <w:r w:rsidR="00733238">
        <w:rPr>
          <w:rFonts w:hint="eastAsia"/>
        </w:rPr>
        <w:t>成功事例</w:t>
      </w:r>
    </w:p>
    <w:p w14:paraId="709F2261" w14:textId="794604FC" w:rsidR="00733238" w:rsidRDefault="0041264C" w:rsidP="002A1924">
      <w:pPr>
        <w:pStyle w:val="a3"/>
        <w:ind w:leftChars="0" w:left="360"/>
      </w:pPr>
      <w:r>
        <w:rPr>
          <w:rFonts w:hint="eastAsia"/>
        </w:rPr>
        <w:t>【日本たばこ産業（JT）】</w:t>
      </w:r>
    </w:p>
    <w:p w14:paraId="23F6DB20" w14:textId="77777777" w:rsidR="00733238" w:rsidRDefault="00733238" w:rsidP="00733238">
      <w:pPr>
        <w:rPr>
          <w:rFonts w:asciiTheme="minorEastAsia" w:hAnsiTheme="minorEastAsia"/>
          <w:color w:val="111111"/>
          <w:spacing w:val="8"/>
          <w:shd w:val="clear" w:color="auto" w:fill="FFFFFF"/>
        </w:rPr>
      </w:pPr>
    </w:p>
    <w:p w14:paraId="50412614" w14:textId="77777777" w:rsidR="00733238" w:rsidRDefault="00733238" w:rsidP="00733238">
      <w:pPr>
        <w:ind w:firstLineChars="100" w:firstLine="226"/>
        <w:rPr>
          <w:rFonts w:asciiTheme="minorEastAsia" w:hAnsiTheme="minorEastAsia"/>
          <w:color w:val="111111"/>
          <w:spacing w:val="8"/>
          <w:shd w:val="clear" w:color="auto" w:fill="FFFFFF"/>
        </w:rPr>
      </w:pPr>
      <w:r>
        <w:rPr>
          <w:rFonts w:asciiTheme="minorEastAsia" w:hAnsiTheme="minorEastAsia" w:hint="eastAsia"/>
          <w:color w:val="111111"/>
          <w:spacing w:val="8"/>
          <w:shd w:val="clear" w:color="auto" w:fill="FFFFFF"/>
        </w:rPr>
        <w:t>日本専売公社から民営化した当時のJTは日本国内で圧倒的シェアを誇っていたが、海外売上高比率は極めて低く、海外においても競争力のあるブランドを持つ巨大なライバルがいる状態だった。また、日本は高齢化社会に突入し人口のピークアウトは勿論、喫煙による健康問題や増税が重なり、たばこ市場も衰退することが見えていた。</w:t>
      </w:r>
    </w:p>
    <w:p w14:paraId="6E5EA3BB" w14:textId="77777777" w:rsidR="00733238" w:rsidRDefault="00733238" w:rsidP="00733238">
      <w:pPr>
        <w:ind w:firstLineChars="100" w:firstLine="226"/>
        <w:rPr>
          <w:rFonts w:asciiTheme="minorEastAsia" w:hAnsiTheme="minorEastAsia"/>
          <w:color w:val="111111"/>
          <w:spacing w:val="8"/>
          <w:shd w:val="clear" w:color="auto" w:fill="FFFFFF"/>
        </w:rPr>
      </w:pPr>
      <w:r>
        <w:rPr>
          <w:rFonts w:asciiTheme="minorEastAsia" w:hAnsiTheme="minorEastAsia" w:hint="eastAsia"/>
          <w:color w:val="111111"/>
          <w:spacing w:val="8"/>
          <w:shd w:val="clear" w:color="auto" w:fill="FFFFFF"/>
        </w:rPr>
        <w:t>日本という単一市場から飛躍するため、「国内企業からグローバル企業へ」という目標を掲げ、海外M&amp;Aを盛んに行っていくこととなる。</w:t>
      </w:r>
    </w:p>
    <w:p w14:paraId="3FBC2E4D" w14:textId="55519401" w:rsidR="00733238" w:rsidRDefault="00733238" w:rsidP="00733238">
      <w:pPr>
        <w:ind w:firstLineChars="100" w:firstLine="226"/>
        <w:rPr>
          <w:rFonts w:asciiTheme="minorEastAsia" w:hAnsiTheme="minorEastAsia"/>
          <w:color w:val="111111"/>
          <w:spacing w:val="8"/>
          <w:shd w:val="clear" w:color="auto" w:fill="FFFFFF"/>
        </w:rPr>
      </w:pPr>
      <w:r>
        <w:rPr>
          <w:rFonts w:asciiTheme="minorEastAsia" w:hAnsiTheme="minorEastAsia" w:hint="eastAsia"/>
          <w:color w:val="111111"/>
          <w:spacing w:val="8"/>
          <w:shd w:val="clear" w:color="auto" w:fill="FFFFFF"/>
        </w:rPr>
        <w:t>1999年、当時世界</w:t>
      </w:r>
      <w:r w:rsidR="00E719AF">
        <w:rPr>
          <w:rFonts w:asciiTheme="minorEastAsia" w:hAnsiTheme="minorEastAsia" w:hint="eastAsia"/>
          <w:color w:val="111111"/>
          <w:spacing w:val="8"/>
          <w:shd w:val="clear" w:color="auto" w:fill="FFFFFF"/>
        </w:rPr>
        <w:t>３</w:t>
      </w:r>
      <w:r w:rsidR="00F044A4">
        <w:rPr>
          <w:rFonts w:asciiTheme="minorEastAsia" w:hAnsiTheme="minorEastAsia" w:hint="eastAsia"/>
          <w:color w:val="111111"/>
          <w:spacing w:val="8"/>
          <w:shd w:val="clear" w:color="auto" w:fill="FFFFFF"/>
        </w:rPr>
        <w:t>位</w:t>
      </w:r>
      <w:r>
        <w:rPr>
          <w:rFonts w:asciiTheme="minorEastAsia" w:hAnsiTheme="minorEastAsia" w:hint="eastAsia"/>
          <w:color w:val="111111"/>
          <w:spacing w:val="8"/>
          <w:shd w:val="clear" w:color="auto" w:fill="FFFFFF"/>
        </w:rPr>
        <w:t>の老舗たばこメーカーであるRJRナビスコから海外たばこ事業（RJRI）を9400億円で買収。その後の2000年には、RJRIの経営統合を図り、RJRIの本社があったスイスのジェネーブにJTIを設立する。JTは当時RJRIが全世界に所持していた、19工場、世界120か国に及ぶ流通網を獲得し、一気にグローバル化していく。実際、海外のたばこ販売数も1998年三月期に200億本だったが、2007年同期には2000億本以上へと成長、海外の売上高は約10倍にまで上昇し、世界第3位のたばこメーカーに躍り出た。またこのときには既に、海外売り上げの割合が57％を</w:t>
      </w:r>
      <w:r w:rsidR="00142C29">
        <w:rPr>
          <w:rFonts w:asciiTheme="minorEastAsia" w:hAnsiTheme="minorEastAsia" w:hint="eastAsia"/>
          <w:color w:val="111111"/>
          <w:spacing w:val="8"/>
          <w:shd w:val="clear" w:color="auto" w:fill="FFFFFF"/>
        </w:rPr>
        <w:t>占</w:t>
      </w:r>
      <w:r>
        <w:rPr>
          <w:rFonts w:asciiTheme="minorEastAsia" w:hAnsiTheme="minorEastAsia" w:hint="eastAsia"/>
          <w:color w:val="111111"/>
          <w:spacing w:val="8"/>
          <w:shd w:val="clear" w:color="auto" w:fill="FFFFFF"/>
        </w:rPr>
        <w:t>め、国内を上回った。</w:t>
      </w:r>
    </w:p>
    <w:p w14:paraId="25B936B4" w14:textId="490BBE2C" w:rsidR="002A1924" w:rsidRDefault="00733238" w:rsidP="0053035F">
      <w:pPr>
        <w:ind w:firstLineChars="100" w:firstLine="226"/>
        <w:rPr>
          <w:rFonts w:asciiTheme="minorEastAsia" w:hAnsiTheme="minorEastAsia"/>
          <w:color w:val="111111"/>
          <w:spacing w:val="8"/>
          <w:shd w:val="clear" w:color="auto" w:fill="FFFFFF"/>
        </w:rPr>
      </w:pPr>
      <w:r>
        <w:rPr>
          <w:rFonts w:asciiTheme="minorEastAsia" w:hAnsiTheme="minorEastAsia" w:hint="eastAsia"/>
          <w:color w:val="111111"/>
          <w:spacing w:val="8"/>
          <w:shd w:val="clear" w:color="auto" w:fill="FFFFFF"/>
        </w:rPr>
        <w:t>2007年、JTは英ギャラハーを2兆2530億円で買収。ギャラハーは世界</w:t>
      </w:r>
      <w:r w:rsidR="00724E9F">
        <w:rPr>
          <w:rFonts w:asciiTheme="minorEastAsia" w:hAnsiTheme="minorEastAsia" w:hint="eastAsia"/>
          <w:color w:val="111111"/>
          <w:spacing w:val="8"/>
          <w:shd w:val="clear" w:color="auto" w:fill="FFFFFF"/>
        </w:rPr>
        <w:t>５</w:t>
      </w:r>
      <w:r>
        <w:rPr>
          <w:rFonts w:asciiTheme="minorEastAsia" w:hAnsiTheme="minorEastAsia" w:hint="eastAsia"/>
          <w:color w:val="111111"/>
          <w:spacing w:val="8"/>
          <w:shd w:val="clear" w:color="auto" w:fill="FFFFFF"/>
        </w:rPr>
        <w:t>位のたばこ会社であり、オーストラリア・ロシア・ウクライナなどに</w:t>
      </w:r>
      <w:r w:rsidR="00DB1C30">
        <w:rPr>
          <w:rFonts w:asciiTheme="minorEastAsia" w:hAnsiTheme="minorEastAsia" w:hint="eastAsia"/>
          <w:color w:val="111111"/>
          <w:spacing w:val="8"/>
          <w:shd w:val="clear" w:color="auto" w:fill="FFFFFF"/>
        </w:rPr>
        <w:t>強力</w:t>
      </w:r>
      <w:r>
        <w:rPr>
          <w:rFonts w:asciiTheme="minorEastAsia" w:hAnsiTheme="minorEastAsia" w:hint="eastAsia"/>
          <w:color w:val="111111"/>
          <w:spacing w:val="8"/>
          <w:shd w:val="clear" w:color="auto" w:fill="FFFFFF"/>
        </w:rPr>
        <w:t>な販売網を持っていた。JTは当時世界</w:t>
      </w:r>
      <w:r w:rsidR="00DB1C30">
        <w:rPr>
          <w:rFonts w:asciiTheme="minorEastAsia" w:hAnsiTheme="minorEastAsia" w:hint="eastAsia"/>
          <w:color w:val="111111"/>
          <w:spacing w:val="8"/>
          <w:shd w:val="clear" w:color="auto" w:fill="FFFFFF"/>
        </w:rPr>
        <w:t>３</w:t>
      </w:r>
      <w:r>
        <w:rPr>
          <w:rFonts w:asciiTheme="minorEastAsia" w:hAnsiTheme="minorEastAsia" w:hint="eastAsia"/>
          <w:color w:val="111111"/>
          <w:spacing w:val="8"/>
          <w:shd w:val="clear" w:color="auto" w:fill="FFFFFF"/>
        </w:rPr>
        <w:t>位の企業であったが、上位</w:t>
      </w:r>
      <w:r w:rsidR="00DB1C30">
        <w:rPr>
          <w:rFonts w:asciiTheme="minorEastAsia" w:hAnsiTheme="minorEastAsia" w:hint="eastAsia"/>
          <w:color w:val="111111"/>
          <w:spacing w:val="8"/>
          <w:shd w:val="clear" w:color="auto" w:fill="FFFFFF"/>
        </w:rPr>
        <w:t>２</w:t>
      </w:r>
      <w:r>
        <w:rPr>
          <w:rFonts w:asciiTheme="minorEastAsia" w:hAnsiTheme="minorEastAsia" w:hint="eastAsia"/>
          <w:color w:val="111111"/>
          <w:spacing w:val="8"/>
          <w:shd w:val="clear" w:color="auto" w:fill="FFFFFF"/>
        </w:rPr>
        <w:t>社（米フィリップモリス、英ブリッシュアメリカンタバコ）に大きく</w:t>
      </w:r>
      <w:r w:rsidR="00712E41">
        <w:rPr>
          <w:rFonts w:asciiTheme="minorEastAsia" w:hAnsiTheme="minorEastAsia" w:hint="eastAsia"/>
          <w:color w:val="111111"/>
          <w:spacing w:val="8"/>
          <w:shd w:val="clear" w:color="auto" w:fill="FFFFFF"/>
        </w:rPr>
        <w:t>離され</w:t>
      </w:r>
      <w:r>
        <w:rPr>
          <w:rFonts w:asciiTheme="minorEastAsia" w:hAnsiTheme="minorEastAsia" w:hint="eastAsia"/>
          <w:color w:val="111111"/>
          <w:spacing w:val="8"/>
          <w:shd w:val="clear" w:color="auto" w:fill="FFFFFF"/>
        </w:rPr>
        <w:t>ていた。ギャラハーの買収により上位</w:t>
      </w:r>
      <w:r w:rsidR="00712E41">
        <w:rPr>
          <w:rFonts w:asciiTheme="minorEastAsia" w:hAnsiTheme="minorEastAsia" w:hint="eastAsia"/>
          <w:color w:val="111111"/>
          <w:spacing w:val="8"/>
          <w:shd w:val="clear" w:color="auto" w:fill="FFFFFF"/>
        </w:rPr>
        <w:t>2</w:t>
      </w:r>
      <w:r>
        <w:rPr>
          <w:rFonts w:asciiTheme="minorEastAsia" w:hAnsiTheme="minorEastAsia" w:hint="eastAsia"/>
          <w:color w:val="111111"/>
          <w:spacing w:val="8"/>
          <w:shd w:val="clear" w:color="auto" w:fill="FFFFFF"/>
        </w:rPr>
        <w:t>社に渡り合えるポジションを確保した。</w:t>
      </w:r>
    </w:p>
    <w:p w14:paraId="045A1671" w14:textId="0F1B9A89" w:rsidR="002A1924" w:rsidRDefault="002A1924" w:rsidP="00733238">
      <w:pPr>
        <w:rPr>
          <w:rFonts w:asciiTheme="minorEastAsia" w:hAnsiTheme="minorEastAsia"/>
          <w:color w:val="111111"/>
          <w:spacing w:val="8"/>
          <w:shd w:val="clear" w:color="auto" w:fill="FFFFFF"/>
        </w:rPr>
      </w:pPr>
    </w:p>
    <w:p w14:paraId="31043710" w14:textId="77777777" w:rsidR="002A1924" w:rsidRDefault="002A1924" w:rsidP="00733238">
      <w:pPr>
        <w:rPr>
          <w:rFonts w:asciiTheme="minorEastAsia" w:hAnsiTheme="minorEastAsia"/>
          <w:color w:val="111111"/>
          <w:spacing w:val="8"/>
          <w:shd w:val="clear" w:color="auto" w:fill="FFFFFF"/>
        </w:rPr>
      </w:pPr>
    </w:p>
    <w:p w14:paraId="46610A6A" w14:textId="77777777" w:rsidR="00733238" w:rsidRDefault="00733238" w:rsidP="002A1924">
      <w:pPr>
        <w:ind w:firstLineChars="100" w:firstLine="226"/>
        <w:rPr>
          <w:rFonts w:asciiTheme="minorEastAsia" w:hAnsiTheme="minorEastAsia"/>
          <w:color w:val="111111"/>
          <w:spacing w:val="8"/>
          <w:shd w:val="clear" w:color="auto" w:fill="FFFFFF"/>
        </w:rPr>
      </w:pPr>
      <w:r>
        <w:rPr>
          <w:rFonts w:asciiTheme="minorEastAsia" w:hAnsiTheme="minorEastAsia" w:hint="eastAsia"/>
          <w:color w:val="111111"/>
          <w:spacing w:val="8"/>
          <w:shd w:val="clear" w:color="auto" w:fill="FFFFFF"/>
        </w:rPr>
        <w:t>JTは買収を「成長するための時間を買った」と位置付けている。事実、RJRIとギャラハーの買収で得たものは多い。海外企業のブランドや海外ビジネスの売上、販売網は勿論、育成に時間とコストのかかるグローバル人材を獲得。さらに、JTIを設立したことにより、グローバルビジネスを推進していくプラットフォームを獲得した。JTは海外M&amp;Aにより、グローバル企業として変貌を遂げただけでなく、世界と対等に渡り合える企業として大きく成長することができた。</w:t>
      </w:r>
    </w:p>
    <w:p w14:paraId="3A405D3D" w14:textId="344B212F" w:rsidR="00B304ED" w:rsidRPr="009A2194" w:rsidRDefault="00733238" w:rsidP="009A2194">
      <w:pPr>
        <w:ind w:firstLineChars="100" w:firstLine="226"/>
        <w:rPr>
          <w:rFonts w:asciiTheme="minorEastAsia" w:hAnsiTheme="minorEastAsia"/>
          <w:color w:val="111111"/>
          <w:spacing w:val="8"/>
          <w:shd w:val="clear" w:color="auto" w:fill="FFFFFF"/>
        </w:rPr>
      </w:pPr>
      <w:r>
        <w:rPr>
          <w:rFonts w:asciiTheme="minorEastAsia" w:hAnsiTheme="minorEastAsia" w:hint="eastAsia"/>
          <w:color w:val="111111"/>
          <w:spacing w:val="8"/>
          <w:shd w:val="clear" w:color="auto" w:fill="FFFFFF"/>
        </w:rPr>
        <w:t>JTが海外M&amp;Aを成功で収めている一方、先にあげた第一三共のように巨額の投資を行ったのにも関わらず失敗に終わり、売却するケースは多い。その失敗の裏には海外M&amp;A特有の難しさがあることが伺える。</w:t>
      </w:r>
    </w:p>
    <w:sectPr w:rsidR="00B304ED" w:rsidRPr="009A219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E2AAB"/>
    <w:multiLevelType w:val="hybridMultilevel"/>
    <w:tmpl w:val="EFE6CD32"/>
    <w:lvl w:ilvl="0" w:tplc="E2044582">
      <w:start w:val="1"/>
      <w:numFmt w:val="japaneseCounting"/>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0C787A"/>
    <w:multiLevelType w:val="hybridMultilevel"/>
    <w:tmpl w:val="FA9A7ECE"/>
    <w:lvl w:ilvl="0" w:tplc="99C23C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F661BA"/>
    <w:multiLevelType w:val="hybridMultilevel"/>
    <w:tmpl w:val="655E2BF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063"/>
    <w:rsid w:val="00010A24"/>
    <w:rsid w:val="00032282"/>
    <w:rsid w:val="0003640C"/>
    <w:rsid w:val="00050741"/>
    <w:rsid w:val="000539DE"/>
    <w:rsid w:val="000626D5"/>
    <w:rsid w:val="000722C3"/>
    <w:rsid w:val="0008129D"/>
    <w:rsid w:val="000967C9"/>
    <w:rsid w:val="000A436E"/>
    <w:rsid w:val="000B1BA1"/>
    <w:rsid w:val="000C37DE"/>
    <w:rsid w:val="000E406E"/>
    <w:rsid w:val="001010C7"/>
    <w:rsid w:val="0012013A"/>
    <w:rsid w:val="001245D1"/>
    <w:rsid w:val="0013385C"/>
    <w:rsid w:val="00142C29"/>
    <w:rsid w:val="0015582B"/>
    <w:rsid w:val="00164EF5"/>
    <w:rsid w:val="00172838"/>
    <w:rsid w:val="001B1C89"/>
    <w:rsid w:val="001C3EC9"/>
    <w:rsid w:val="001D36A1"/>
    <w:rsid w:val="001F26D9"/>
    <w:rsid w:val="00201F3F"/>
    <w:rsid w:val="002060F1"/>
    <w:rsid w:val="00211F65"/>
    <w:rsid w:val="00241F21"/>
    <w:rsid w:val="00261A19"/>
    <w:rsid w:val="00290AE8"/>
    <w:rsid w:val="00292C92"/>
    <w:rsid w:val="002A1924"/>
    <w:rsid w:val="002A5960"/>
    <w:rsid w:val="002C050B"/>
    <w:rsid w:val="002C0AA1"/>
    <w:rsid w:val="002C23D4"/>
    <w:rsid w:val="002D70DB"/>
    <w:rsid w:val="002E79E3"/>
    <w:rsid w:val="002F551F"/>
    <w:rsid w:val="00301872"/>
    <w:rsid w:val="00315DF3"/>
    <w:rsid w:val="00330708"/>
    <w:rsid w:val="003344A7"/>
    <w:rsid w:val="003440DD"/>
    <w:rsid w:val="00347EEE"/>
    <w:rsid w:val="00354717"/>
    <w:rsid w:val="00356BCA"/>
    <w:rsid w:val="0037191D"/>
    <w:rsid w:val="00375B13"/>
    <w:rsid w:val="0038318A"/>
    <w:rsid w:val="003A1E0A"/>
    <w:rsid w:val="003B2DCD"/>
    <w:rsid w:val="003C6FF6"/>
    <w:rsid w:val="003D66DC"/>
    <w:rsid w:val="003E1BAA"/>
    <w:rsid w:val="003E37FE"/>
    <w:rsid w:val="00404C92"/>
    <w:rsid w:val="0041264C"/>
    <w:rsid w:val="00416F06"/>
    <w:rsid w:val="00421699"/>
    <w:rsid w:val="00421CD4"/>
    <w:rsid w:val="00427746"/>
    <w:rsid w:val="0045120B"/>
    <w:rsid w:val="00466F1B"/>
    <w:rsid w:val="00475E07"/>
    <w:rsid w:val="004824CE"/>
    <w:rsid w:val="00482AF4"/>
    <w:rsid w:val="00483C68"/>
    <w:rsid w:val="00484878"/>
    <w:rsid w:val="00490B46"/>
    <w:rsid w:val="004965A9"/>
    <w:rsid w:val="004A6E67"/>
    <w:rsid w:val="004B0AFA"/>
    <w:rsid w:val="004B6E7A"/>
    <w:rsid w:val="005008F1"/>
    <w:rsid w:val="005066BC"/>
    <w:rsid w:val="00510251"/>
    <w:rsid w:val="00521E91"/>
    <w:rsid w:val="00527F49"/>
    <w:rsid w:val="0053035F"/>
    <w:rsid w:val="00542CA7"/>
    <w:rsid w:val="00546874"/>
    <w:rsid w:val="0055406D"/>
    <w:rsid w:val="005603F5"/>
    <w:rsid w:val="005614C4"/>
    <w:rsid w:val="00561CEF"/>
    <w:rsid w:val="00586BB6"/>
    <w:rsid w:val="005B50C6"/>
    <w:rsid w:val="005C085D"/>
    <w:rsid w:val="005E172D"/>
    <w:rsid w:val="00603C11"/>
    <w:rsid w:val="006054BB"/>
    <w:rsid w:val="00610A8C"/>
    <w:rsid w:val="00613B1C"/>
    <w:rsid w:val="00640DEC"/>
    <w:rsid w:val="00657E28"/>
    <w:rsid w:val="00667138"/>
    <w:rsid w:val="00682A54"/>
    <w:rsid w:val="006854A0"/>
    <w:rsid w:val="00697C7A"/>
    <w:rsid w:val="006C78EE"/>
    <w:rsid w:val="006D7AE4"/>
    <w:rsid w:val="006F31AA"/>
    <w:rsid w:val="006F6D32"/>
    <w:rsid w:val="0070530F"/>
    <w:rsid w:val="00712E41"/>
    <w:rsid w:val="0072407B"/>
    <w:rsid w:val="00724E9F"/>
    <w:rsid w:val="00733238"/>
    <w:rsid w:val="00737CBC"/>
    <w:rsid w:val="00761FD1"/>
    <w:rsid w:val="00771160"/>
    <w:rsid w:val="00773222"/>
    <w:rsid w:val="007975E7"/>
    <w:rsid w:val="007A3CC5"/>
    <w:rsid w:val="007A61BA"/>
    <w:rsid w:val="007A7D17"/>
    <w:rsid w:val="007B7246"/>
    <w:rsid w:val="007C345C"/>
    <w:rsid w:val="007C3DC0"/>
    <w:rsid w:val="00814E10"/>
    <w:rsid w:val="00897F7C"/>
    <w:rsid w:val="008A4C2F"/>
    <w:rsid w:val="008A5662"/>
    <w:rsid w:val="008C6D07"/>
    <w:rsid w:val="008D4884"/>
    <w:rsid w:val="00925F63"/>
    <w:rsid w:val="009260EB"/>
    <w:rsid w:val="00926C2C"/>
    <w:rsid w:val="00941BDC"/>
    <w:rsid w:val="009609D9"/>
    <w:rsid w:val="00967063"/>
    <w:rsid w:val="00985CE8"/>
    <w:rsid w:val="009916FA"/>
    <w:rsid w:val="009A008B"/>
    <w:rsid w:val="009A2194"/>
    <w:rsid w:val="009B2B80"/>
    <w:rsid w:val="009C2B4C"/>
    <w:rsid w:val="009F2000"/>
    <w:rsid w:val="00A06968"/>
    <w:rsid w:val="00A103E7"/>
    <w:rsid w:val="00A12B5A"/>
    <w:rsid w:val="00A205B7"/>
    <w:rsid w:val="00A21925"/>
    <w:rsid w:val="00A24541"/>
    <w:rsid w:val="00A36CE9"/>
    <w:rsid w:val="00A36CEA"/>
    <w:rsid w:val="00A463DE"/>
    <w:rsid w:val="00A87845"/>
    <w:rsid w:val="00A96466"/>
    <w:rsid w:val="00AA6BA3"/>
    <w:rsid w:val="00AB51A3"/>
    <w:rsid w:val="00AE2F13"/>
    <w:rsid w:val="00AF018F"/>
    <w:rsid w:val="00AF4C48"/>
    <w:rsid w:val="00AF52C1"/>
    <w:rsid w:val="00AF586F"/>
    <w:rsid w:val="00AF69AC"/>
    <w:rsid w:val="00B016A9"/>
    <w:rsid w:val="00B024B9"/>
    <w:rsid w:val="00B304ED"/>
    <w:rsid w:val="00B436A6"/>
    <w:rsid w:val="00B52A16"/>
    <w:rsid w:val="00B574C6"/>
    <w:rsid w:val="00B655FE"/>
    <w:rsid w:val="00B66581"/>
    <w:rsid w:val="00B70B15"/>
    <w:rsid w:val="00B848C0"/>
    <w:rsid w:val="00B96608"/>
    <w:rsid w:val="00BB180C"/>
    <w:rsid w:val="00BF1FA7"/>
    <w:rsid w:val="00C0142B"/>
    <w:rsid w:val="00C11990"/>
    <w:rsid w:val="00C269A5"/>
    <w:rsid w:val="00C42E65"/>
    <w:rsid w:val="00C439FA"/>
    <w:rsid w:val="00C450FB"/>
    <w:rsid w:val="00C55736"/>
    <w:rsid w:val="00C749A8"/>
    <w:rsid w:val="00CB6517"/>
    <w:rsid w:val="00CB6D61"/>
    <w:rsid w:val="00CC54E9"/>
    <w:rsid w:val="00CE338D"/>
    <w:rsid w:val="00CE72FD"/>
    <w:rsid w:val="00CE7B7D"/>
    <w:rsid w:val="00CF5568"/>
    <w:rsid w:val="00D42FB9"/>
    <w:rsid w:val="00D546E7"/>
    <w:rsid w:val="00D56132"/>
    <w:rsid w:val="00D60114"/>
    <w:rsid w:val="00D702A2"/>
    <w:rsid w:val="00D7205F"/>
    <w:rsid w:val="00D8507D"/>
    <w:rsid w:val="00D90C12"/>
    <w:rsid w:val="00D94612"/>
    <w:rsid w:val="00D95BEC"/>
    <w:rsid w:val="00DB1C30"/>
    <w:rsid w:val="00DB5F0C"/>
    <w:rsid w:val="00DC514C"/>
    <w:rsid w:val="00DC54C1"/>
    <w:rsid w:val="00DD49A0"/>
    <w:rsid w:val="00DE58EC"/>
    <w:rsid w:val="00DF5127"/>
    <w:rsid w:val="00E05ED6"/>
    <w:rsid w:val="00E063D2"/>
    <w:rsid w:val="00E1185C"/>
    <w:rsid w:val="00E11DDF"/>
    <w:rsid w:val="00E33419"/>
    <w:rsid w:val="00E50715"/>
    <w:rsid w:val="00E719AF"/>
    <w:rsid w:val="00E76715"/>
    <w:rsid w:val="00E90E3B"/>
    <w:rsid w:val="00EB3080"/>
    <w:rsid w:val="00EB689D"/>
    <w:rsid w:val="00EC6B86"/>
    <w:rsid w:val="00ED35CD"/>
    <w:rsid w:val="00EE0ABA"/>
    <w:rsid w:val="00EE5318"/>
    <w:rsid w:val="00EF6289"/>
    <w:rsid w:val="00F044A4"/>
    <w:rsid w:val="00F04A1B"/>
    <w:rsid w:val="00F14D9D"/>
    <w:rsid w:val="00F14DFD"/>
    <w:rsid w:val="00F32970"/>
    <w:rsid w:val="00F61F36"/>
    <w:rsid w:val="00F8782A"/>
    <w:rsid w:val="00FA2943"/>
    <w:rsid w:val="00FB7EBA"/>
    <w:rsid w:val="00FC56BD"/>
    <w:rsid w:val="00FD6CC1"/>
    <w:rsid w:val="00FE2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FB8C15"/>
  <w15:chartTrackingRefBased/>
  <w15:docId w15:val="{947CE0A2-F8AC-407C-8986-492DEF7C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70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855334">
      <w:bodyDiv w:val="1"/>
      <w:marLeft w:val="0"/>
      <w:marRight w:val="0"/>
      <w:marTop w:val="0"/>
      <w:marBottom w:val="0"/>
      <w:divBdr>
        <w:top w:val="none" w:sz="0" w:space="0" w:color="auto"/>
        <w:left w:val="none" w:sz="0" w:space="0" w:color="auto"/>
        <w:bottom w:val="none" w:sz="0" w:space="0" w:color="auto"/>
        <w:right w:val="none" w:sz="0" w:space="0" w:color="auto"/>
      </w:divBdr>
    </w:div>
    <w:div w:id="769130917">
      <w:bodyDiv w:val="1"/>
      <w:marLeft w:val="0"/>
      <w:marRight w:val="0"/>
      <w:marTop w:val="0"/>
      <w:marBottom w:val="0"/>
      <w:divBdr>
        <w:top w:val="none" w:sz="0" w:space="0" w:color="auto"/>
        <w:left w:val="none" w:sz="0" w:space="0" w:color="auto"/>
        <w:bottom w:val="none" w:sz="0" w:space="0" w:color="auto"/>
        <w:right w:val="none" w:sz="0" w:space="0" w:color="auto"/>
      </w:divBdr>
    </w:div>
    <w:div w:id="186478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yuuki\OneDrive\m&amp;a%20&#12487;&#12540;&#1247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yuuki\OneDrive\m&amp;a%20&#12487;&#12540;&#1247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1400" b="0" i="0" u="none" strike="noStrike" kern="1200" spc="0" baseline="0">
                <a:solidFill>
                  <a:schemeClr val="tx1">
                    <a:lumMod val="65000"/>
                    <a:lumOff val="35000"/>
                  </a:schemeClr>
                </a:solidFill>
                <a:latin typeface="+mn-lt"/>
                <a:ea typeface="+mn-ea"/>
                <a:cs typeface="+mn-cs"/>
              </a:defRPr>
            </a:pPr>
            <a:r>
              <a:rPr lang="ja-JP" altLang="en-US"/>
              <a:t>日本の</a:t>
            </a:r>
            <a:r>
              <a:rPr lang="en-US" altLang="ja-JP"/>
              <a:t>GDP</a:t>
            </a:r>
            <a:r>
              <a:rPr lang="ja-JP" altLang="en-US"/>
              <a:t>成長率（前年比）</a:t>
            </a:r>
          </a:p>
        </c:rich>
      </c:tx>
      <c:overlay val="0"/>
      <c:spPr>
        <a:noFill/>
        <a:ln>
          <a:noFill/>
        </a:ln>
        <a:effectLst/>
      </c:spPr>
      <c:txPr>
        <a:bodyPr rot="0" spcFirstLastPara="1" vertOverflow="ellipsis" vert="horz" wrap="square" anchor="ctr" anchorCtr="1"/>
        <a:lstStyle/>
        <a:p>
          <a:pPr>
            <a:defRPr lang="ja-JP"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lineChart>
        <c:grouping val="standard"/>
        <c:varyColors val="0"/>
        <c:ser>
          <c:idx val="0"/>
          <c:order val="0"/>
          <c:tx>
            <c:strRef>
              <c:f>Sheet1!$L$2</c:f>
              <c:strCache>
                <c:ptCount val="1"/>
                <c:pt idx="0">
                  <c:v>実質GDP成長率</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lang="ja-JP"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Sheet1!$M$1:$AE$1</c:f>
              <c:strCache>
                <c:ptCount val="19"/>
                <c:pt idx="0">
                  <c:v>2001年</c:v>
                </c:pt>
                <c:pt idx="1">
                  <c:v>2002年</c:v>
                </c:pt>
                <c:pt idx="2">
                  <c:v>2003年</c:v>
                </c:pt>
                <c:pt idx="3">
                  <c:v>2004年</c:v>
                </c:pt>
                <c:pt idx="4">
                  <c:v>2005年</c:v>
                </c:pt>
                <c:pt idx="5">
                  <c:v>2006年</c:v>
                </c:pt>
                <c:pt idx="6">
                  <c:v>2007年</c:v>
                </c:pt>
                <c:pt idx="7">
                  <c:v>2008年</c:v>
                </c:pt>
                <c:pt idx="8">
                  <c:v>2009年</c:v>
                </c:pt>
                <c:pt idx="9">
                  <c:v>2010年</c:v>
                </c:pt>
                <c:pt idx="10">
                  <c:v>2011年</c:v>
                </c:pt>
                <c:pt idx="11">
                  <c:v>2012年</c:v>
                </c:pt>
                <c:pt idx="12">
                  <c:v>2013年</c:v>
                </c:pt>
                <c:pt idx="13">
                  <c:v>2014年</c:v>
                </c:pt>
                <c:pt idx="14">
                  <c:v>2015年</c:v>
                </c:pt>
                <c:pt idx="15">
                  <c:v>2016年</c:v>
                </c:pt>
                <c:pt idx="16">
                  <c:v>2017年</c:v>
                </c:pt>
                <c:pt idx="17">
                  <c:v>2018年</c:v>
                </c:pt>
                <c:pt idx="18">
                  <c:v>2019年</c:v>
                </c:pt>
              </c:strCache>
            </c:strRef>
          </c:cat>
          <c:val>
            <c:numRef>
              <c:f>Sheet1!$M$2:$AE$2</c:f>
              <c:numCache>
                <c:formatCode>General</c:formatCode>
                <c:ptCount val="19"/>
                <c:pt idx="0">
                  <c:v>0.4</c:v>
                </c:pt>
                <c:pt idx="1">
                  <c:v>0.1</c:v>
                </c:pt>
                <c:pt idx="2">
                  <c:v>1.5</c:v>
                </c:pt>
                <c:pt idx="3">
                  <c:v>2.2000000000000002</c:v>
                </c:pt>
                <c:pt idx="4">
                  <c:v>1.7</c:v>
                </c:pt>
                <c:pt idx="5">
                  <c:v>1.4</c:v>
                </c:pt>
                <c:pt idx="6">
                  <c:v>1.7</c:v>
                </c:pt>
                <c:pt idx="7">
                  <c:v>-1.1000000000000001</c:v>
                </c:pt>
                <c:pt idx="8">
                  <c:v>-5.4</c:v>
                </c:pt>
                <c:pt idx="9">
                  <c:v>4.2</c:v>
                </c:pt>
                <c:pt idx="10">
                  <c:v>-0.1</c:v>
                </c:pt>
                <c:pt idx="11">
                  <c:v>1.5</c:v>
                </c:pt>
                <c:pt idx="12">
                  <c:v>2</c:v>
                </c:pt>
                <c:pt idx="13">
                  <c:v>0.4</c:v>
                </c:pt>
                <c:pt idx="14">
                  <c:v>1.2</c:v>
                </c:pt>
                <c:pt idx="15">
                  <c:v>0.5</c:v>
                </c:pt>
                <c:pt idx="16">
                  <c:v>2.2000000000000002</c:v>
                </c:pt>
                <c:pt idx="17">
                  <c:v>0.3</c:v>
                </c:pt>
                <c:pt idx="18">
                  <c:v>0.7</c:v>
                </c:pt>
              </c:numCache>
            </c:numRef>
          </c:val>
          <c:smooth val="0"/>
          <c:extLst>
            <c:ext xmlns:c16="http://schemas.microsoft.com/office/drawing/2014/chart" uri="{C3380CC4-5D6E-409C-BE32-E72D297353CC}">
              <c16:uniqueId val="{00000000-4D02-47E5-A55B-4C69A413911D}"/>
            </c:ext>
          </c:extLst>
        </c:ser>
        <c:ser>
          <c:idx val="1"/>
          <c:order val="1"/>
          <c:tx>
            <c:strRef>
              <c:f>Sheet1!$L$3</c:f>
              <c:strCache>
                <c:ptCount val="1"/>
                <c:pt idx="0">
                  <c:v>名目GDP成長率</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lang="ja-JP"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Sheet1!$M$1:$AE$1</c:f>
              <c:strCache>
                <c:ptCount val="19"/>
                <c:pt idx="0">
                  <c:v>2001年</c:v>
                </c:pt>
                <c:pt idx="1">
                  <c:v>2002年</c:v>
                </c:pt>
                <c:pt idx="2">
                  <c:v>2003年</c:v>
                </c:pt>
                <c:pt idx="3">
                  <c:v>2004年</c:v>
                </c:pt>
                <c:pt idx="4">
                  <c:v>2005年</c:v>
                </c:pt>
                <c:pt idx="5">
                  <c:v>2006年</c:v>
                </c:pt>
                <c:pt idx="6">
                  <c:v>2007年</c:v>
                </c:pt>
                <c:pt idx="7">
                  <c:v>2008年</c:v>
                </c:pt>
                <c:pt idx="8">
                  <c:v>2009年</c:v>
                </c:pt>
                <c:pt idx="9">
                  <c:v>2010年</c:v>
                </c:pt>
                <c:pt idx="10">
                  <c:v>2011年</c:v>
                </c:pt>
                <c:pt idx="11">
                  <c:v>2012年</c:v>
                </c:pt>
                <c:pt idx="12">
                  <c:v>2013年</c:v>
                </c:pt>
                <c:pt idx="13">
                  <c:v>2014年</c:v>
                </c:pt>
                <c:pt idx="14">
                  <c:v>2015年</c:v>
                </c:pt>
                <c:pt idx="15">
                  <c:v>2016年</c:v>
                </c:pt>
                <c:pt idx="16">
                  <c:v>2017年</c:v>
                </c:pt>
                <c:pt idx="17">
                  <c:v>2018年</c:v>
                </c:pt>
                <c:pt idx="18">
                  <c:v>2019年</c:v>
                </c:pt>
              </c:strCache>
            </c:strRef>
          </c:cat>
          <c:val>
            <c:numRef>
              <c:f>Sheet1!$M$3:$AE$3</c:f>
              <c:numCache>
                <c:formatCode>General</c:formatCode>
                <c:ptCount val="19"/>
                <c:pt idx="0">
                  <c:v>-0.7</c:v>
                </c:pt>
                <c:pt idx="1">
                  <c:v>-1.3</c:v>
                </c:pt>
                <c:pt idx="2">
                  <c:v>-0.1</c:v>
                </c:pt>
                <c:pt idx="3">
                  <c:v>1.1000000000000001</c:v>
                </c:pt>
                <c:pt idx="4">
                  <c:v>0.6</c:v>
                </c:pt>
                <c:pt idx="5">
                  <c:v>0.5</c:v>
                </c:pt>
                <c:pt idx="6">
                  <c:v>0.9</c:v>
                </c:pt>
                <c:pt idx="7">
                  <c:v>-2.1</c:v>
                </c:pt>
                <c:pt idx="8">
                  <c:v>-6</c:v>
                </c:pt>
                <c:pt idx="9">
                  <c:v>2.2000000000000002</c:v>
                </c:pt>
                <c:pt idx="10">
                  <c:v>-1.8</c:v>
                </c:pt>
                <c:pt idx="11">
                  <c:v>0.7</c:v>
                </c:pt>
                <c:pt idx="12">
                  <c:v>1.7</c:v>
                </c:pt>
                <c:pt idx="13">
                  <c:v>2.1</c:v>
                </c:pt>
                <c:pt idx="14">
                  <c:v>3.4</c:v>
                </c:pt>
                <c:pt idx="15">
                  <c:v>0.8</c:v>
                </c:pt>
                <c:pt idx="16">
                  <c:v>1.9</c:v>
                </c:pt>
                <c:pt idx="17">
                  <c:v>0.2</c:v>
                </c:pt>
                <c:pt idx="18">
                  <c:v>1.3</c:v>
                </c:pt>
              </c:numCache>
            </c:numRef>
          </c:val>
          <c:smooth val="0"/>
          <c:extLst>
            <c:ext xmlns:c16="http://schemas.microsoft.com/office/drawing/2014/chart" uri="{C3380CC4-5D6E-409C-BE32-E72D297353CC}">
              <c16:uniqueId val="{00000001-4D02-47E5-A55B-4C69A413911D}"/>
            </c:ext>
          </c:extLst>
        </c:ser>
        <c:dLbls>
          <c:dLblPos val="ctr"/>
          <c:showLegendKey val="0"/>
          <c:showVal val="1"/>
          <c:showCatName val="0"/>
          <c:showSerName val="0"/>
          <c:showPercent val="0"/>
          <c:showBubbleSize val="0"/>
        </c:dLbls>
        <c:smooth val="0"/>
        <c:axId val="719217384"/>
        <c:axId val="719213448"/>
      </c:lineChart>
      <c:catAx>
        <c:axId val="71921738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ja-JP"/>
          </a:p>
        </c:txPr>
        <c:crossAx val="719213448"/>
        <c:crosses val="autoZero"/>
        <c:auto val="1"/>
        <c:lblAlgn val="ctr"/>
        <c:lblOffset val="100"/>
        <c:noMultiLvlLbl val="0"/>
      </c:catAx>
      <c:valAx>
        <c:axId val="719213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ja-JP"/>
          </a:p>
        </c:txPr>
        <c:crossAx val="719217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1400" b="0" i="0" u="none" strike="noStrike" kern="1200" spc="0" baseline="0">
                <a:solidFill>
                  <a:schemeClr val="tx1">
                    <a:lumMod val="65000"/>
                    <a:lumOff val="35000"/>
                  </a:schemeClr>
                </a:solidFill>
                <a:latin typeface="+mn-lt"/>
                <a:ea typeface="+mn-ea"/>
                <a:cs typeface="+mn-cs"/>
              </a:defRPr>
            </a:pPr>
            <a:r>
              <a:rPr lang="en-US" altLang="ja-JP" baseline="0"/>
              <a:t>7</a:t>
            </a:r>
            <a:r>
              <a:rPr lang="ja-JP" altLang="en-US" baseline="0"/>
              <a:t>か国 </a:t>
            </a:r>
            <a:r>
              <a:rPr lang="ja-JP" altLang="en-US"/>
              <a:t>実質</a:t>
            </a:r>
            <a:r>
              <a:rPr lang="en-US" altLang="ja-JP"/>
              <a:t>GDP</a:t>
            </a:r>
            <a:r>
              <a:rPr lang="ja-JP" altLang="en-US"/>
              <a:t>成長率 推移</a:t>
            </a:r>
          </a:p>
        </c:rich>
      </c:tx>
      <c:overlay val="0"/>
      <c:spPr>
        <a:noFill/>
        <a:ln>
          <a:noFill/>
        </a:ln>
        <a:effectLst/>
      </c:spPr>
      <c:txPr>
        <a:bodyPr rot="0" spcFirstLastPara="1" vertOverflow="ellipsis" vert="horz" wrap="square" anchor="ctr" anchorCtr="1"/>
        <a:lstStyle/>
        <a:p>
          <a:pPr>
            <a:defRPr lang="ja-JP"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lineChart>
        <c:grouping val="standard"/>
        <c:varyColors val="0"/>
        <c:ser>
          <c:idx val="0"/>
          <c:order val="0"/>
          <c:tx>
            <c:strRef>
              <c:f>Sheet1!$A$2</c:f>
              <c:strCache>
                <c:ptCount val="1"/>
                <c:pt idx="0">
                  <c:v>米国</c:v>
                </c:pt>
              </c:strCache>
            </c:strRef>
          </c:tx>
          <c:spPr>
            <a:ln w="28575" cap="rnd">
              <a:solidFill>
                <a:schemeClr val="accent1"/>
              </a:solidFill>
              <a:round/>
            </a:ln>
            <a:effectLst/>
          </c:spPr>
          <c:marker>
            <c:symbol val="none"/>
          </c:marker>
          <c:cat>
            <c:strRef>
              <c:f>Sheet1!$B$1:$J$1</c:f>
              <c:strCache>
                <c:ptCount val="9"/>
                <c:pt idx="0">
                  <c:v>2011年</c:v>
                </c:pt>
                <c:pt idx="1">
                  <c:v>2012年</c:v>
                </c:pt>
                <c:pt idx="2">
                  <c:v>2013年</c:v>
                </c:pt>
                <c:pt idx="3">
                  <c:v>2014年</c:v>
                </c:pt>
                <c:pt idx="4">
                  <c:v>2015年</c:v>
                </c:pt>
                <c:pt idx="5">
                  <c:v>2016年</c:v>
                </c:pt>
                <c:pt idx="6">
                  <c:v>2017年</c:v>
                </c:pt>
                <c:pt idx="7">
                  <c:v>2018年</c:v>
                </c:pt>
                <c:pt idx="8">
                  <c:v>2019年</c:v>
                </c:pt>
              </c:strCache>
            </c:strRef>
          </c:cat>
          <c:val>
            <c:numRef>
              <c:f>Sheet1!$B$2:$J$2</c:f>
              <c:numCache>
                <c:formatCode>General</c:formatCode>
                <c:ptCount val="9"/>
                <c:pt idx="0">
                  <c:v>1.6</c:v>
                </c:pt>
                <c:pt idx="1">
                  <c:v>2.2000000000000002</c:v>
                </c:pt>
                <c:pt idx="2">
                  <c:v>1.8</c:v>
                </c:pt>
                <c:pt idx="3">
                  <c:v>2.5</c:v>
                </c:pt>
                <c:pt idx="4">
                  <c:v>2.9</c:v>
                </c:pt>
                <c:pt idx="5">
                  <c:v>1.6</c:v>
                </c:pt>
                <c:pt idx="6">
                  <c:v>2.4</c:v>
                </c:pt>
                <c:pt idx="7">
                  <c:v>2.9</c:v>
                </c:pt>
                <c:pt idx="8">
                  <c:v>2.2999999999999998</c:v>
                </c:pt>
              </c:numCache>
            </c:numRef>
          </c:val>
          <c:smooth val="0"/>
          <c:extLst>
            <c:ext xmlns:c16="http://schemas.microsoft.com/office/drawing/2014/chart" uri="{C3380CC4-5D6E-409C-BE32-E72D297353CC}">
              <c16:uniqueId val="{00000000-33E2-45D0-90C8-343E3D7B0AD2}"/>
            </c:ext>
          </c:extLst>
        </c:ser>
        <c:ser>
          <c:idx val="1"/>
          <c:order val="1"/>
          <c:tx>
            <c:strRef>
              <c:f>Sheet1!$A$3</c:f>
              <c:strCache>
                <c:ptCount val="1"/>
                <c:pt idx="0">
                  <c:v>英国</c:v>
                </c:pt>
              </c:strCache>
            </c:strRef>
          </c:tx>
          <c:spPr>
            <a:ln w="28575" cap="rnd">
              <a:solidFill>
                <a:schemeClr val="accent2"/>
              </a:solidFill>
              <a:round/>
            </a:ln>
            <a:effectLst/>
          </c:spPr>
          <c:marker>
            <c:symbol val="none"/>
          </c:marker>
          <c:cat>
            <c:strRef>
              <c:f>Sheet1!$B$1:$J$1</c:f>
              <c:strCache>
                <c:ptCount val="9"/>
                <c:pt idx="0">
                  <c:v>2011年</c:v>
                </c:pt>
                <c:pt idx="1">
                  <c:v>2012年</c:v>
                </c:pt>
                <c:pt idx="2">
                  <c:v>2013年</c:v>
                </c:pt>
                <c:pt idx="3">
                  <c:v>2014年</c:v>
                </c:pt>
                <c:pt idx="4">
                  <c:v>2015年</c:v>
                </c:pt>
                <c:pt idx="5">
                  <c:v>2016年</c:v>
                </c:pt>
                <c:pt idx="6">
                  <c:v>2017年</c:v>
                </c:pt>
                <c:pt idx="7">
                  <c:v>2018年</c:v>
                </c:pt>
                <c:pt idx="8">
                  <c:v>2019年</c:v>
                </c:pt>
              </c:strCache>
            </c:strRef>
          </c:cat>
          <c:val>
            <c:numRef>
              <c:f>Sheet1!$B$3:$J$3</c:f>
              <c:numCache>
                <c:formatCode>General</c:formatCode>
                <c:ptCount val="9"/>
                <c:pt idx="0">
                  <c:v>1.5</c:v>
                </c:pt>
                <c:pt idx="1">
                  <c:v>1.5</c:v>
                </c:pt>
                <c:pt idx="2">
                  <c:v>2.1</c:v>
                </c:pt>
                <c:pt idx="3">
                  <c:v>2.6</c:v>
                </c:pt>
                <c:pt idx="4">
                  <c:v>2.4</c:v>
                </c:pt>
                <c:pt idx="5">
                  <c:v>1.9</c:v>
                </c:pt>
                <c:pt idx="6">
                  <c:v>1.9</c:v>
                </c:pt>
                <c:pt idx="7">
                  <c:v>1.3</c:v>
                </c:pt>
                <c:pt idx="8">
                  <c:v>1.4</c:v>
                </c:pt>
              </c:numCache>
            </c:numRef>
          </c:val>
          <c:smooth val="0"/>
          <c:extLst>
            <c:ext xmlns:c16="http://schemas.microsoft.com/office/drawing/2014/chart" uri="{C3380CC4-5D6E-409C-BE32-E72D297353CC}">
              <c16:uniqueId val="{00000001-33E2-45D0-90C8-343E3D7B0AD2}"/>
            </c:ext>
          </c:extLst>
        </c:ser>
        <c:ser>
          <c:idx val="2"/>
          <c:order val="2"/>
          <c:tx>
            <c:strRef>
              <c:f>Sheet1!$A$4</c:f>
              <c:strCache>
                <c:ptCount val="1"/>
                <c:pt idx="0">
                  <c:v>ドイツ</c:v>
                </c:pt>
              </c:strCache>
            </c:strRef>
          </c:tx>
          <c:spPr>
            <a:ln w="28575" cap="rnd">
              <a:solidFill>
                <a:schemeClr val="accent3"/>
              </a:solidFill>
              <a:round/>
            </a:ln>
            <a:effectLst/>
          </c:spPr>
          <c:marker>
            <c:symbol val="none"/>
          </c:marker>
          <c:cat>
            <c:strRef>
              <c:f>Sheet1!$B$1:$J$1</c:f>
              <c:strCache>
                <c:ptCount val="9"/>
                <c:pt idx="0">
                  <c:v>2011年</c:v>
                </c:pt>
                <c:pt idx="1">
                  <c:v>2012年</c:v>
                </c:pt>
                <c:pt idx="2">
                  <c:v>2013年</c:v>
                </c:pt>
                <c:pt idx="3">
                  <c:v>2014年</c:v>
                </c:pt>
                <c:pt idx="4">
                  <c:v>2015年</c:v>
                </c:pt>
                <c:pt idx="5">
                  <c:v>2016年</c:v>
                </c:pt>
                <c:pt idx="6">
                  <c:v>2017年</c:v>
                </c:pt>
                <c:pt idx="7">
                  <c:v>2018年</c:v>
                </c:pt>
                <c:pt idx="8">
                  <c:v>2019年</c:v>
                </c:pt>
              </c:strCache>
            </c:strRef>
          </c:cat>
          <c:val>
            <c:numRef>
              <c:f>Sheet1!$B$4:$J$4</c:f>
              <c:numCache>
                <c:formatCode>General</c:formatCode>
                <c:ptCount val="9"/>
                <c:pt idx="0">
                  <c:v>3.9</c:v>
                </c:pt>
                <c:pt idx="1">
                  <c:v>0.4</c:v>
                </c:pt>
                <c:pt idx="2">
                  <c:v>0.4</c:v>
                </c:pt>
                <c:pt idx="3">
                  <c:v>2.2000000000000002</c:v>
                </c:pt>
                <c:pt idx="4">
                  <c:v>1.7</c:v>
                </c:pt>
                <c:pt idx="5">
                  <c:v>2.2000000000000002</c:v>
                </c:pt>
                <c:pt idx="6">
                  <c:v>2.5</c:v>
                </c:pt>
                <c:pt idx="7">
                  <c:v>1.5</c:v>
                </c:pt>
                <c:pt idx="8">
                  <c:v>0.6</c:v>
                </c:pt>
              </c:numCache>
            </c:numRef>
          </c:val>
          <c:smooth val="0"/>
          <c:extLst>
            <c:ext xmlns:c16="http://schemas.microsoft.com/office/drawing/2014/chart" uri="{C3380CC4-5D6E-409C-BE32-E72D297353CC}">
              <c16:uniqueId val="{00000002-33E2-45D0-90C8-343E3D7B0AD2}"/>
            </c:ext>
          </c:extLst>
        </c:ser>
        <c:ser>
          <c:idx val="3"/>
          <c:order val="3"/>
          <c:tx>
            <c:strRef>
              <c:f>Sheet1!$A$5</c:f>
              <c:strCache>
                <c:ptCount val="1"/>
                <c:pt idx="0">
                  <c:v>日本</c:v>
                </c:pt>
              </c:strCache>
            </c:strRef>
          </c:tx>
          <c:spPr>
            <a:ln w="28575" cap="rnd">
              <a:solidFill>
                <a:schemeClr val="accent4"/>
              </a:solidFill>
              <a:round/>
            </a:ln>
            <a:effectLst/>
          </c:spPr>
          <c:marker>
            <c:symbol val="none"/>
          </c:marker>
          <c:cat>
            <c:strRef>
              <c:f>Sheet1!$B$1:$J$1</c:f>
              <c:strCache>
                <c:ptCount val="9"/>
                <c:pt idx="0">
                  <c:v>2011年</c:v>
                </c:pt>
                <c:pt idx="1">
                  <c:v>2012年</c:v>
                </c:pt>
                <c:pt idx="2">
                  <c:v>2013年</c:v>
                </c:pt>
                <c:pt idx="3">
                  <c:v>2014年</c:v>
                </c:pt>
                <c:pt idx="4">
                  <c:v>2015年</c:v>
                </c:pt>
                <c:pt idx="5">
                  <c:v>2016年</c:v>
                </c:pt>
                <c:pt idx="6">
                  <c:v>2017年</c:v>
                </c:pt>
                <c:pt idx="7">
                  <c:v>2018年</c:v>
                </c:pt>
                <c:pt idx="8">
                  <c:v>2019年</c:v>
                </c:pt>
              </c:strCache>
            </c:strRef>
          </c:cat>
          <c:val>
            <c:numRef>
              <c:f>Sheet1!$B$5:$J$5</c:f>
              <c:numCache>
                <c:formatCode>General</c:formatCode>
                <c:ptCount val="9"/>
                <c:pt idx="0">
                  <c:v>-0.1</c:v>
                </c:pt>
                <c:pt idx="1">
                  <c:v>1.5</c:v>
                </c:pt>
                <c:pt idx="2">
                  <c:v>2</c:v>
                </c:pt>
                <c:pt idx="3">
                  <c:v>0.4</c:v>
                </c:pt>
                <c:pt idx="4">
                  <c:v>1.2</c:v>
                </c:pt>
                <c:pt idx="5">
                  <c:v>0.5</c:v>
                </c:pt>
                <c:pt idx="6">
                  <c:v>2.2000000000000002</c:v>
                </c:pt>
                <c:pt idx="7">
                  <c:v>0.3</c:v>
                </c:pt>
                <c:pt idx="8">
                  <c:v>0.7</c:v>
                </c:pt>
              </c:numCache>
            </c:numRef>
          </c:val>
          <c:smooth val="0"/>
          <c:extLst>
            <c:ext xmlns:c16="http://schemas.microsoft.com/office/drawing/2014/chart" uri="{C3380CC4-5D6E-409C-BE32-E72D297353CC}">
              <c16:uniqueId val="{00000003-33E2-45D0-90C8-343E3D7B0AD2}"/>
            </c:ext>
          </c:extLst>
        </c:ser>
        <c:ser>
          <c:idx val="4"/>
          <c:order val="4"/>
          <c:tx>
            <c:strRef>
              <c:f>Sheet1!$A$6</c:f>
              <c:strCache>
                <c:ptCount val="1"/>
                <c:pt idx="0">
                  <c:v>オーストラリア</c:v>
                </c:pt>
              </c:strCache>
            </c:strRef>
          </c:tx>
          <c:spPr>
            <a:ln w="28575" cap="rnd">
              <a:solidFill>
                <a:schemeClr val="accent5"/>
              </a:solidFill>
              <a:round/>
            </a:ln>
            <a:effectLst/>
          </c:spPr>
          <c:marker>
            <c:symbol val="none"/>
          </c:marker>
          <c:cat>
            <c:strRef>
              <c:f>Sheet1!$B$1:$J$1</c:f>
              <c:strCache>
                <c:ptCount val="9"/>
                <c:pt idx="0">
                  <c:v>2011年</c:v>
                </c:pt>
                <c:pt idx="1">
                  <c:v>2012年</c:v>
                </c:pt>
                <c:pt idx="2">
                  <c:v>2013年</c:v>
                </c:pt>
                <c:pt idx="3">
                  <c:v>2014年</c:v>
                </c:pt>
                <c:pt idx="4">
                  <c:v>2015年</c:v>
                </c:pt>
                <c:pt idx="5">
                  <c:v>2016年</c:v>
                </c:pt>
                <c:pt idx="6">
                  <c:v>2017年</c:v>
                </c:pt>
                <c:pt idx="7">
                  <c:v>2018年</c:v>
                </c:pt>
                <c:pt idx="8">
                  <c:v>2019年</c:v>
                </c:pt>
              </c:strCache>
            </c:strRef>
          </c:cat>
          <c:val>
            <c:numRef>
              <c:f>Sheet1!$B$6:$J$6</c:f>
              <c:numCache>
                <c:formatCode>General</c:formatCode>
                <c:ptCount val="9"/>
                <c:pt idx="0">
                  <c:v>2.8</c:v>
                </c:pt>
                <c:pt idx="1">
                  <c:v>3.8</c:v>
                </c:pt>
                <c:pt idx="2">
                  <c:v>2.1</c:v>
                </c:pt>
                <c:pt idx="3">
                  <c:v>2.6</c:v>
                </c:pt>
                <c:pt idx="4">
                  <c:v>2.2999999999999998</c:v>
                </c:pt>
                <c:pt idx="5">
                  <c:v>2.8</c:v>
                </c:pt>
                <c:pt idx="6">
                  <c:v>2.5</c:v>
                </c:pt>
                <c:pt idx="7">
                  <c:v>2.7</c:v>
                </c:pt>
                <c:pt idx="8">
                  <c:v>1.9</c:v>
                </c:pt>
              </c:numCache>
            </c:numRef>
          </c:val>
          <c:smooth val="0"/>
          <c:extLst>
            <c:ext xmlns:c16="http://schemas.microsoft.com/office/drawing/2014/chart" uri="{C3380CC4-5D6E-409C-BE32-E72D297353CC}">
              <c16:uniqueId val="{00000004-33E2-45D0-90C8-343E3D7B0AD2}"/>
            </c:ext>
          </c:extLst>
        </c:ser>
        <c:ser>
          <c:idx val="5"/>
          <c:order val="5"/>
          <c:tx>
            <c:strRef>
              <c:f>Sheet1!$A$7</c:f>
              <c:strCache>
                <c:ptCount val="1"/>
                <c:pt idx="0">
                  <c:v>中国</c:v>
                </c:pt>
              </c:strCache>
            </c:strRef>
          </c:tx>
          <c:spPr>
            <a:ln w="28575" cap="rnd">
              <a:solidFill>
                <a:schemeClr val="accent6"/>
              </a:solidFill>
              <a:round/>
            </a:ln>
            <a:effectLst/>
          </c:spPr>
          <c:marker>
            <c:symbol val="none"/>
          </c:marker>
          <c:cat>
            <c:strRef>
              <c:f>Sheet1!$B$1:$J$1</c:f>
              <c:strCache>
                <c:ptCount val="9"/>
                <c:pt idx="0">
                  <c:v>2011年</c:v>
                </c:pt>
                <c:pt idx="1">
                  <c:v>2012年</c:v>
                </c:pt>
                <c:pt idx="2">
                  <c:v>2013年</c:v>
                </c:pt>
                <c:pt idx="3">
                  <c:v>2014年</c:v>
                </c:pt>
                <c:pt idx="4">
                  <c:v>2015年</c:v>
                </c:pt>
                <c:pt idx="5">
                  <c:v>2016年</c:v>
                </c:pt>
                <c:pt idx="6">
                  <c:v>2017年</c:v>
                </c:pt>
                <c:pt idx="7">
                  <c:v>2018年</c:v>
                </c:pt>
                <c:pt idx="8">
                  <c:v>2019年</c:v>
                </c:pt>
              </c:strCache>
            </c:strRef>
          </c:cat>
          <c:val>
            <c:numRef>
              <c:f>Sheet1!$B$7:$J$7</c:f>
              <c:numCache>
                <c:formatCode>General</c:formatCode>
                <c:ptCount val="9"/>
                <c:pt idx="0">
                  <c:v>9.5</c:v>
                </c:pt>
                <c:pt idx="1">
                  <c:v>7.9</c:v>
                </c:pt>
                <c:pt idx="2">
                  <c:v>7.8</c:v>
                </c:pt>
                <c:pt idx="3">
                  <c:v>7.3</c:v>
                </c:pt>
                <c:pt idx="4">
                  <c:v>6.9</c:v>
                </c:pt>
                <c:pt idx="5">
                  <c:v>6.8</c:v>
                </c:pt>
                <c:pt idx="6">
                  <c:v>6.9</c:v>
                </c:pt>
                <c:pt idx="7">
                  <c:v>6.8</c:v>
                </c:pt>
                <c:pt idx="8">
                  <c:v>6.1</c:v>
                </c:pt>
              </c:numCache>
            </c:numRef>
          </c:val>
          <c:smooth val="0"/>
          <c:extLst>
            <c:ext xmlns:c16="http://schemas.microsoft.com/office/drawing/2014/chart" uri="{C3380CC4-5D6E-409C-BE32-E72D297353CC}">
              <c16:uniqueId val="{00000005-33E2-45D0-90C8-343E3D7B0AD2}"/>
            </c:ext>
          </c:extLst>
        </c:ser>
        <c:ser>
          <c:idx val="6"/>
          <c:order val="6"/>
          <c:tx>
            <c:strRef>
              <c:f>Sheet1!$A$8</c:f>
              <c:strCache>
                <c:ptCount val="1"/>
                <c:pt idx="0">
                  <c:v>インド</c:v>
                </c:pt>
              </c:strCache>
            </c:strRef>
          </c:tx>
          <c:spPr>
            <a:ln w="28575" cap="rnd">
              <a:solidFill>
                <a:schemeClr val="accent1">
                  <a:lumMod val="60000"/>
                </a:schemeClr>
              </a:solidFill>
              <a:round/>
            </a:ln>
            <a:effectLst/>
          </c:spPr>
          <c:marker>
            <c:symbol val="none"/>
          </c:marker>
          <c:cat>
            <c:strRef>
              <c:f>Sheet1!$B$1:$J$1</c:f>
              <c:strCache>
                <c:ptCount val="9"/>
                <c:pt idx="0">
                  <c:v>2011年</c:v>
                </c:pt>
                <c:pt idx="1">
                  <c:v>2012年</c:v>
                </c:pt>
                <c:pt idx="2">
                  <c:v>2013年</c:v>
                </c:pt>
                <c:pt idx="3">
                  <c:v>2014年</c:v>
                </c:pt>
                <c:pt idx="4">
                  <c:v>2015年</c:v>
                </c:pt>
                <c:pt idx="5">
                  <c:v>2016年</c:v>
                </c:pt>
                <c:pt idx="6">
                  <c:v>2017年</c:v>
                </c:pt>
                <c:pt idx="7">
                  <c:v>2018年</c:v>
                </c:pt>
                <c:pt idx="8">
                  <c:v>2019年</c:v>
                </c:pt>
              </c:strCache>
            </c:strRef>
          </c:cat>
          <c:val>
            <c:numRef>
              <c:f>Sheet1!$B$8:$J$8</c:f>
              <c:numCache>
                <c:formatCode>General</c:formatCode>
                <c:ptCount val="9"/>
                <c:pt idx="0">
                  <c:v>6.6</c:v>
                </c:pt>
                <c:pt idx="1">
                  <c:v>5.5</c:v>
                </c:pt>
                <c:pt idx="2">
                  <c:v>6.4</c:v>
                </c:pt>
                <c:pt idx="3">
                  <c:v>7.4</c:v>
                </c:pt>
                <c:pt idx="4">
                  <c:v>8</c:v>
                </c:pt>
                <c:pt idx="5">
                  <c:v>8.3000000000000007</c:v>
                </c:pt>
                <c:pt idx="6">
                  <c:v>7</c:v>
                </c:pt>
                <c:pt idx="7">
                  <c:v>6.1</c:v>
                </c:pt>
                <c:pt idx="8">
                  <c:v>4.2</c:v>
                </c:pt>
              </c:numCache>
            </c:numRef>
          </c:val>
          <c:smooth val="0"/>
          <c:extLst>
            <c:ext xmlns:c16="http://schemas.microsoft.com/office/drawing/2014/chart" uri="{C3380CC4-5D6E-409C-BE32-E72D297353CC}">
              <c16:uniqueId val="{00000006-33E2-45D0-90C8-343E3D7B0AD2}"/>
            </c:ext>
          </c:extLst>
        </c:ser>
        <c:dLbls>
          <c:showLegendKey val="0"/>
          <c:showVal val="0"/>
          <c:showCatName val="0"/>
          <c:showSerName val="0"/>
          <c:showPercent val="0"/>
          <c:showBubbleSize val="0"/>
        </c:dLbls>
        <c:smooth val="0"/>
        <c:axId val="900095592"/>
        <c:axId val="900089032"/>
      </c:lineChart>
      <c:catAx>
        <c:axId val="900095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ja-JP"/>
          </a:p>
        </c:txPr>
        <c:crossAx val="900089032"/>
        <c:crosses val="autoZero"/>
        <c:auto val="1"/>
        <c:lblAlgn val="ctr"/>
        <c:lblOffset val="100"/>
        <c:noMultiLvlLbl val="0"/>
      </c:catAx>
      <c:valAx>
        <c:axId val="900089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ja-JP"/>
          </a:p>
        </c:txPr>
        <c:crossAx val="900095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1400" b="0" i="0" u="none" strike="noStrike" kern="1200" spc="0" baseline="0">
                <a:solidFill>
                  <a:schemeClr val="tx1">
                    <a:lumMod val="65000"/>
                    <a:lumOff val="35000"/>
                  </a:schemeClr>
                </a:solidFill>
                <a:latin typeface="+mn-lt"/>
                <a:ea typeface="+mn-ea"/>
                <a:cs typeface="+mn-cs"/>
              </a:defRPr>
            </a:pPr>
            <a:r>
              <a:rPr lang="ja-JP" altLang="en-US"/>
              <a:t>世界 実質</a:t>
            </a:r>
            <a:r>
              <a:rPr lang="en-US" altLang="ja-JP"/>
              <a:t>GDP</a:t>
            </a:r>
            <a:r>
              <a:rPr lang="ja-JP" altLang="en-US"/>
              <a:t>成長率 推移</a:t>
            </a:r>
          </a:p>
        </c:rich>
      </c:tx>
      <c:overlay val="0"/>
      <c:spPr>
        <a:noFill/>
        <a:ln>
          <a:noFill/>
        </a:ln>
        <a:effectLst/>
      </c:spPr>
      <c:txPr>
        <a:bodyPr rot="0" spcFirstLastPara="1" vertOverflow="ellipsis" vert="horz" wrap="square" anchor="ctr" anchorCtr="1"/>
        <a:lstStyle/>
        <a:p>
          <a:pPr>
            <a:defRPr lang="ja-JP"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lineChart>
        <c:grouping val="standard"/>
        <c:varyColors val="0"/>
        <c:ser>
          <c:idx val="0"/>
          <c:order val="0"/>
          <c:tx>
            <c:strRef>
              <c:f>Sheet1!$A$25</c:f>
              <c:strCache>
                <c:ptCount val="1"/>
                <c:pt idx="0">
                  <c:v>世界</c:v>
                </c:pt>
              </c:strCache>
            </c:strRef>
          </c:tx>
          <c:spPr>
            <a:ln w="28575" cap="rnd">
              <a:solidFill>
                <a:schemeClr val="accent1"/>
              </a:solidFill>
              <a:round/>
            </a:ln>
            <a:effectLst/>
          </c:spPr>
          <c:marker>
            <c:symbol val="none"/>
          </c:marker>
          <c:cat>
            <c:strRef>
              <c:f>Sheet1!$B$24:$J$24</c:f>
              <c:strCache>
                <c:ptCount val="9"/>
                <c:pt idx="0">
                  <c:v>2011年</c:v>
                </c:pt>
                <c:pt idx="1">
                  <c:v>2012年</c:v>
                </c:pt>
                <c:pt idx="2">
                  <c:v>2013年</c:v>
                </c:pt>
                <c:pt idx="3">
                  <c:v>2014年</c:v>
                </c:pt>
                <c:pt idx="4">
                  <c:v>2015年</c:v>
                </c:pt>
                <c:pt idx="5">
                  <c:v>2016年</c:v>
                </c:pt>
                <c:pt idx="6">
                  <c:v>2017年</c:v>
                </c:pt>
                <c:pt idx="7">
                  <c:v>2018年</c:v>
                </c:pt>
                <c:pt idx="8">
                  <c:v>2019年</c:v>
                </c:pt>
              </c:strCache>
            </c:strRef>
          </c:cat>
          <c:val>
            <c:numRef>
              <c:f>Sheet1!$B$25:$J$25</c:f>
              <c:numCache>
                <c:formatCode>General</c:formatCode>
                <c:ptCount val="9"/>
                <c:pt idx="0">
                  <c:v>4.3</c:v>
                </c:pt>
                <c:pt idx="1">
                  <c:v>3.5</c:v>
                </c:pt>
                <c:pt idx="2">
                  <c:v>3.5</c:v>
                </c:pt>
                <c:pt idx="3">
                  <c:v>3.6</c:v>
                </c:pt>
                <c:pt idx="4">
                  <c:v>3.5</c:v>
                </c:pt>
                <c:pt idx="5">
                  <c:v>3.4</c:v>
                </c:pt>
                <c:pt idx="6">
                  <c:v>3.9</c:v>
                </c:pt>
                <c:pt idx="7">
                  <c:v>3.6</c:v>
                </c:pt>
                <c:pt idx="8">
                  <c:v>2.9</c:v>
                </c:pt>
              </c:numCache>
            </c:numRef>
          </c:val>
          <c:smooth val="0"/>
          <c:extLst>
            <c:ext xmlns:c16="http://schemas.microsoft.com/office/drawing/2014/chart" uri="{C3380CC4-5D6E-409C-BE32-E72D297353CC}">
              <c16:uniqueId val="{00000000-C07F-4DF8-9412-A4CE7447790A}"/>
            </c:ext>
          </c:extLst>
        </c:ser>
        <c:ser>
          <c:idx val="1"/>
          <c:order val="1"/>
          <c:tx>
            <c:strRef>
              <c:f>Sheet1!$A$26</c:f>
              <c:strCache>
                <c:ptCount val="1"/>
                <c:pt idx="0">
                  <c:v>先進国・地域</c:v>
                </c:pt>
              </c:strCache>
            </c:strRef>
          </c:tx>
          <c:spPr>
            <a:ln w="28575" cap="rnd">
              <a:solidFill>
                <a:schemeClr val="accent2"/>
              </a:solidFill>
              <a:round/>
            </a:ln>
            <a:effectLst/>
          </c:spPr>
          <c:marker>
            <c:symbol val="none"/>
          </c:marker>
          <c:cat>
            <c:strRef>
              <c:f>Sheet1!$B$24:$J$24</c:f>
              <c:strCache>
                <c:ptCount val="9"/>
                <c:pt idx="0">
                  <c:v>2011年</c:v>
                </c:pt>
                <c:pt idx="1">
                  <c:v>2012年</c:v>
                </c:pt>
                <c:pt idx="2">
                  <c:v>2013年</c:v>
                </c:pt>
                <c:pt idx="3">
                  <c:v>2014年</c:v>
                </c:pt>
                <c:pt idx="4">
                  <c:v>2015年</c:v>
                </c:pt>
                <c:pt idx="5">
                  <c:v>2016年</c:v>
                </c:pt>
                <c:pt idx="6">
                  <c:v>2017年</c:v>
                </c:pt>
                <c:pt idx="7">
                  <c:v>2018年</c:v>
                </c:pt>
                <c:pt idx="8">
                  <c:v>2019年</c:v>
                </c:pt>
              </c:strCache>
            </c:strRef>
          </c:cat>
          <c:val>
            <c:numRef>
              <c:f>Sheet1!$B$26:$J$26</c:f>
              <c:numCache>
                <c:formatCode>General</c:formatCode>
                <c:ptCount val="9"/>
                <c:pt idx="0">
                  <c:v>1.7</c:v>
                </c:pt>
                <c:pt idx="1">
                  <c:v>1.2</c:v>
                </c:pt>
                <c:pt idx="2">
                  <c:v>1.4</c:v>
                </c:pt>
                <c:pt idx="3">
                  <c:v>2.1</c:v>
                </c:pt>
                <c:pt idx="4">
                  <c:v>2.2999999999999998</c:v>
                </c:pt>
                <c:pt idx="5">
                  <c:v>1.7</c:v>
                </c:pt>
                <c:pt idx="6">
                  <c:v>2.5</c:v>
                </c:pt>
                <c:pt idx="7">
                  <c:v>2.2000000000000002</c:v>
                </c:pt>
                <c:pt idx="8">
                  <c:v>1.7</c:v>
                </c:pt>
              </c:numCache>
            </c:numRef>
          </c:val>
          <c:smooth val="0"/>
          <c:extLst>
            <c:ext xmlns:c16="http://schemas.microsoft.com/office/drawing/2014/chart" uri="{C3380CC4-5D6E-409C-BE32-E72D297353CC}">
              <c16:uniqueId val="{00000001-C07F-4DF8-9412-A4CE7447790A}"/>
            </c:ext>
          </c:extLst>
        </c:ser>
        <c:ser>
          <c:idx val="2"/>
          <c:order val="2"/>
          <c:tx>
            <c:strRef>
              <c:f>Sheet1!$A$27</c:f>
              <c:strCache>
                <c:ptCount val="1"/>
                <c:pt idx="0">
                  <c:v>新興国・発展途上国</c:v>
                </c:pt>
              </c:strCache>
            </c:strRef>
          </c:tx>
          <c:spPr>
            <a:ln w="28575" cap="rnd">
              <a:solidFill>
                <a:schemeClr val="accent3"/>
              </a:solidFill>
              <a:round/>
            </a:ln>
            <a:effectLst/>
          </c:spPr>
          <c:marker>
            <c:symbol val="none"/>
          </c:marker>
          <c:cat>
            <c:strRef>
              <c:f>Sheet1!$B$24:$J$24</c:f>
              <c:strCache>
                <c:ptCount val="9"/>
                <c:pt idx="0">
                  <c:v>2011年</c:v>
                </c:pt>
                <c:pt idx="1">
                  <c:v>2012年</c:v>
                </c:pt>
                <c:pt idx="2">
                  <c:v>2013年</c:v>
                </c:pt>
                <c:pt idx="3">
                  <c:v>2014年</c:v>
                </c:pt>
                <c:pt idx="4">
                  <c:v>2015年</c:v>
                </c:pt>
                <c:pt idx="5">
                  <c:v>2016年</c:v>
                </c:pt>
                <c:pt idx="6">
                  <c:v>2017年</c:v>
                </c:pt>
                <c:pt idx="7">
                  <c:v>2018年</c:v>
                </c:pt>
                <c:pt idx="8">
                  <c:v>2019年</c:v>
                </c:pt>
              </c:strCache>
            </c:strRef>
          </c:cat>
          <c:val>
            <c:numRef>
              <c:f>Sheet1!$B$27:$J$27</c:f>
              <c:numCache>
                <c:formatCode>General</c:formatCode>
                <c:ptCount val="9"/>
                <c:pt idx="0">
                  <c:v>6.4</c:v>
                </c:pt>
                <c:pt idx="1">
                  <c:v>5.3</c:v>
                </c:pt>
                <c:pt idx="2">
                  <c:v>5.0999999999999996</c:v>
                </c:pt>
                <c:pt idx="3">
                  <c:v>4.7</c:v>
                </c:pt>
                <c:pt idx="4">
                  <c:v>4.3</c:v>
                </c:pt>
                <c:pt idx="5">
                  <c:v>4.5999999999999996</c:v>
                </c:pt>
                <c:pt idx="6">
                  <c:v>4.8</c:v>
                </c:pt>
                <c:pt idx="7">
                  <c:v>4.5</c:v>
                </c:pt>
                <c:pt idx="8">
                  <c:v>3.7</c:v>
                </c:pt>
              </c:numCache>
            </c:numRef>
          </c:val>
          <c:smooth val="0"/>
          <c:extLst>
            <c:ext xmlns:c16="http://schemas.microsoft.com/office/drawing/2014/chart" uri="{C3380CC4-5D6E-409C-BE32-E72D297353CC}">
              <c16:uniqueId val="{00000002-C07F-4DF8-9412-A4CE7447790A}"/>
            </c:ext>
          </c:extLst>
        </c:ser>
        <c:ser>
          <c:idx val="3"/>
          <c:order val="3"/>
          <c:tx>
            <c:strRef>
              <c:f>Sheet1!$A$28</c:f>
              <c:strCache>
                <c:ptCount val="1"/>
                <c:pt idx="0">
                  <c:v>日本</c:v>
                </c:pt>
              </c:strCache>
            </c:strRef>
          </c:tx>
          <c:spPr>
            <a:ln w="28575" cap="rnd">
              <a:solidFill>
                <a:schemeClr val="accent4"/>
              </a:solidFill>
              <a:round/>
            </a:ln>
            <a:effectLst/>
          </c:spPr>
          <c:marker>
            <c:symbol val="none"/>
          </c:marker>
          <c:cat>
            <c:strRef>
              <c:f>Sheet1!$B$24:$J$24</c:f>
              <c:strCache>
                <c:ptCount val="9"/>
                <c:pt idx="0">
                  <c:v>2011年</c:v>
                </c:pt>
                <c:pt idx="1">
                  <c:v>2012年</c:v>
                </c:pt>
                <c:pt idx="2">
                  <c:v>2013年</c:v>
                </c:pt>
                <c:pt idx="3">
                  <c:v>2014年</c:v>
                </c:pt>
                <c:pt idx="4">
                  <c:v>2015年</c:v>
                </c:pt>
                <c:pt idx="5">
                  <c:v>2016年</c:v>
                </c:pt>
                <c:pt idx="6">
                  <c:v>2017年</c:v>
                </c:pt>
                <c:pt idx="7">
                  <c:v>2018年</c:v>
                </c:pt>
                <c:pt idx="8">
                  <c:v>2019年</c:v>
                </c:pt>
              </c:strCache>
            </c:strRef>
          </c:cat>
          <c:val>
            <c:numRef>
              <c:f>Sheet1!$B$28:$J$28</c:f>
              <c:numCache>
                <c:formatCode>General</c:formatCode>
                <c:ptCount val="9"/>
                <c:pt idx="0">
                  <c:v>-0.1</c:v>
                </c:pt>
                <c:pt idx="1">
                  <c:v>1.5</c:v>
                </c:pt>
                <c:pt idx="2">
                  <c:v>2</c:v>
                </c:pt>
                <c:pt idx="3">
                  <c:v>0.4</c:v>
                </c:pt>
                <c:pt idx="4">
                  <c:v>1.2</c:v>
                </c:pt>
                <c:pt idx="5">
                  <c:v>0.5</c:v>
                </c:pt>
                <c:pt idx="6">
                  <c:v>2.2000000000000002</c:v>
                </c:pt>
                <c:pt idx="7">
                  <c:v>0.3</c:v>
                </c:pt>
                <c:pt idx="8">
                  <c:v>0.7</c:v>
                </c:pt>
              </c:numCache>
            </c:numRef>
          </c:val>
          <c:smooth val="0"/>
          <c:extLst>
            <c:ext xmlns:c16="http://schemas.microsoft.com/office/drawing/2014/chart" uri="{C3380CC4-5D6E-409C-BE32-E72D297353CC}">
              <c16:uniqueId val="{00000003-C07F-4DF8-9412-A4CE7447790A}"/>
            </c:ext>
          </c:extLst>
        </c:ser>
        <c:dLbls>
          <c:showLegendKey val="0"/>
          <c:showVal val="0"/>
          <c:showCatName val="0"/>
          <c:showSerName val="0"/>
          <c:showPercent val="0"/>
          <c:showBubbleSize val="0"/>
        </c:dLbls>
        <c:smooth val="0"/>
        <c:axId val="770212168"/>
        <c:axId val="770215448"/>
      </c:lineChart>
      <c:catAx>
        <c:axId val="770212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ja-JP"/>
          </a:p>
        </c:txPr>
        <c:crossAx val="770215448"/>
        <c:crosses val="autoZero"/>
        <c:auto val="1"/>
        <c:lblAlgn val="ctr"/>
        <c:lblOffset val="100"/>
        <c:noMultiLvlLbl val="0"/>
      </c:catAx>
      <c:valAx>
        <c:axId val="770215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ja-JP"/>
          </a:p>
        </c:txPr>
        <c:crossAx val="770212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7</Pages>
  <Words>3950</Words>
  <Characters>4189</Characters>
  <Application>Microsoft Office Word</Application>
  <DocSecurity>0</DocSecurity>
  <Lines>183</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吉川 祐樹</dc:creator>
  <cp:keywords/>
  <dc:description/>
  <cp:lastModifiedBy>吉川 祐樹</cp:lastModifiedBy>
  <cp:revision>220</cp:revision>
  <dcterms:created xsi:type="dcterms:W3CDTF">2020-11-12T06:48:00Z</dcterms:created>
  <dcterms:modified xsi:type="dcterms:W3CDTF">2020-11-12T23:30:00Z</dcterms:modified>
</cp:coreProperties>
</file>